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44B1" w14:textId="77777777" w:rsidR="00C42E93" w:rsidRDefault="00C42E93" w:rsidP="007E4F50">
      <w:pPr>
        <w:jc w:val="center"/>
        <w:rPr>
          <w:b/>
          <w:i/>
        </w:rPr>
      </w:pPr>
      <w:r w:rsidRPr="007E4F50">
        <w:rPr>
          <w:b/>
          <w:i/>
        </w:rPr>
        <w:t>The Earth Sustainability Liberal Education Program:  An experiment in integrative learning</w:t>
      </w:r>
    </w:p>
    <w:p w14:paraId="422D4011" w14:textId="5CFFAEEE" w:rsidR="00A46295" w:rsidRPr="007E4F50" w:rsidRDefault="00A46295" w:rsidP="007E4F50">
      <w:pPr>
        <w:jc w:val="center"/>
        <w:rPr>
          <w:b/>
          <w:i/>
        </w:rPr>
      </w:pPr>
      <w:r>
        <w:rPr>
          <w:b/>
          <w:i/>
        </w:rPr>
        <w:t>Barbara M. Bekken, Geosciences, Virginia Tech</w:t>
      </w:r>
    </w:p>
    <w:p w14:paraId="20B9FCC4" w14:textId="77777777" w:rsidR="00C42E93" w:rsidRDefault="00C42E93" w:rsidP="00212F1A"/>
    <w:p w14:paraId="6D9A55EC" w14:textId="2150F6D5" w:rsidR="003314F1" w:rsidRPr="00D567B9" w:rsidRDefault="0059579E" w:rsidP="00212F1A">
      <w:pPr>
        <w:rPr>
          <w:rFonts w:cs="Arial"/>
          <w:i/>
          <w:szCs w:val="20"/>
        </w:rPr>
      </w:pPr>
      <w:r>
        <w:rPr>
          <w:rFonts w:cs="Arial"/>
          <w:i/>
          <w:szCs w:val="20"/>
        </w:rPr>
        <w:t>Wh</w:t>
      </w:r>
      <w:r w:rsidR="008D5B5A">
        <w:rPr>
          <w:rFonts w:cs="Arial"/>
          <w:i/>
          <w:szCs w:val="20"/>
        </w:rPr>
        <w:t>at is the Earth Sustainability program in liberal e</w:t>
      </w:r>
      <w:r>
        <w:rPr>
          <w:rFonts w:cs="Arial"/>
          <w:i/>
          <w:szCs w:val="20"/>
        </w:rPr>
        <w:t>ducation?</w:t>
      </w:r>
    </w:p>
    <w:p w14:paraId="16C68235" w14:textId="636530B8" w:rsidR="003314F1" w:rsidRPr="00656A23" w:rsidRDefault="003314F1" w:rsidP="005B3495">
      <w:pPr>
        <w:ind w:firstLine="360"/>
        <w:rPr>
          <w:rFonts w:cs="Arial"/>
          <w:szCs w:val="20"/>
        </w:rPr>
      </w:pPr>
      <w:r w:rsidRPr="00656A23">
        <w:rPr>
          <w:rFonts w:cs="Arial"/>
          <w:szCs w:val="20"/>
        </w:rPr>
        <w:t xml:space="preserve">The </w:t>
      </w:r>
      <w:r w:rsidRPr="00656A23">
        <w:rPr>
          <w:rFonts w:cs="Arial"/>
          <w:iCs/>
          <w:szCs w:val="20"/>
        </w:rPr>
        <w:t>Earth Sustainability (ES) program</w:t>
      </w:r>
      <w:r w:rsidR="00B36BC9">
        <w:rPr>
          <w:rFonts w:cs="Arial"/>
          <w:iCs/>
          <w:szCs w:val="20"/>
        </w:rPr>
        <w:t xml:space="preserve"> is an integrative and STEM-saturated experiment</w:t>
      </w:r>
      <w:r>
        <w:rPr>
          <w:rFonts w:cs="Arial"/>
          <w:iCs/>
          <w:szCs w:val="20"/>
        </w:rPr>
        <w:t xml:space="preserve"> in liberal education</w:t>
      </w:r>
      <w:r w:rsidR="00B36BC9">
        <w:rPr>
          <w:rFonts w:cs="Arial"/>
          <w:iCs/>
          <w:szCs w:val="20"/>
        </w:rPr>
        <w:t xml:space="preserve"> that debuted at Virginia Tech</w:t>
      </w:r>
      <w:r w:rsidR="00B36BC9" w:rsidRPr="00B36BC9">
        <w:rPr>
          <w:rFonts w:cs="Arial"/>
          <w:iCs/>
          <w:szCs w:val="20"/>
        </w:rPr>
        <w:t xml:space="preserve"> </w:t>
      </w:r>
      <w:r w:rsidR="00B36BC9">
        <w:rPr>
          <w:rFonts w:cs="Arial"/>
          <w:iCs/>
          <w:szCs w:val="20"/>
        </w:rPr>
        <w:t xml:space="preserve">from 2004 to 2010.  </w:t>
      </w:r>
      <w:r w:rsidR="0059579E">
        <w:rPr>
          <w:rFonts w:cs="Arial"/>
          <w:iCs/>
          <w:szCs w:val="20"/>
        </w:rPr>
        <w:t xml:space="preserve">Over the span of four consecutive </w:t>
      </w:r>
      <w:r w:rsidR="00B36BC9">
        <w:rPr>
          <w:rFonts w:cs="Arial"/>
          <w:iCs/>
          <w:szCs w:val="20"/>
        </w:rPr>
        <w:t>semester</w:t>
      </w:r>
      <w:r w:rsidR="0059579E">
        <w:rPr>
          <w:rFonts w:cs="Arial"/>
          <w:iCs/>
          <w:szCs w:val="20"/>
        </w:rPr>
        <w:t>s, students fulfill their general education requirements through this</w:t>
      </w:r>
      <w:r w:rsidR="00B36BC9">
        <w:rPr>
          <w:rFonts w:cs="Arial"/>
          <w:iCs/>
          <w:szCs w:val="20"/>
        </w:rPr>
        <w:t xml:space="preserve"> thematic</w:t>
      </w:r>
      <w:r w:rsidR="0059579E">
        <w:rPr>
          <w:rFonts w:cs="Arial"/>
          <w:iCs/>
          <w:szCs w:val="20"/>
        </w:rPr>
        <w:t xml:space="preserve"> and</w:t>
      </w:r>
      <w:r w:rsidR="00B36BC9">
        <w:rPr>
          <w:rFonts w:cs="Arial"/>
          <w:iCs/>
          <w:szCs w:val="20"/>
        </w:rPr>
        <w:t xml:space="preserve"> interdisciplinary</w:t>
      </w:r>
      <w:r w:rsidRPr="00656A23">
        <w:rPr>
          <w:rFonts w:cs="Arial"/>
          <w:iCs/>
          <w:szCs w:val="20"/>
        </w:rPr>
        <w:t xml:space="preserve"> </w:t>
      </w:r>
      <w:r w:rsidR="0059579E">
        <w:rPr>
          <w:rFonts w:cs="Arial"/>
          <w:iCs/>
          <w:szCs w:val="20"/>
        </w:rPr>
        <w:t>alternative to</w:t>
      </w:r>
      <w:r w:rsidR="005F129E">
        <w:rPr>
          <w:rFonts w:cs="Arial"/>
          <w:iCs/>
          <w:szCs w:val="20"/>
        </w:rPr>
        <w:t xml:space="preserve"> the</w:t>
      </w:r>
      <w:r w:rsidR="0059579E">
        <w:rPr>
          <w:rFonts w:cs="Arial"/>
          <w:iCs/>
          <w:szCs w:val="20"/>
        </w:rPr>
        <w:t xml:space="preserve"> traditional distribution-based </w:t>
      </w:r>
      <w:r w:rsidR="00B36BC9">
        <w:rPr>
          <w:rFonts w:cs="Arial"/>
          <w:iCs/>
          <w:szCs w:val="20"/>
        </w:rPr>
        <w:t xml:space="preserve">general education </w:t>
      </w:r>
      <w:r>
        <w:rPr>
          <w:rFonts w:cs="Arial"/>
          <w:iCs/>
          <w:szCs w:val="20"/>
        </w:rPr>
        <w:t>model</w:t>
      </w:r>
      <w:r w:rsidR="0059579E">
        <w:rPr>
          <w:rFonts w:cs="Arial"/>
          <w:iCs/>
          <w:szCs w:val="20"/>
        </w:rPr>
        <w:t>.  From our knowledge, the Earth Sustainability liberal education program is unique in that it</w:t>
      </w:r>
      <w:r>
        <w:rPr>
          <w:rFonts w:cs="Arial"/>
          <w:iCs/>
          <w:szCs w:val="20"/>
        </w:rPr>
        <w:t xml:space="preserve"> </w:t>
      </w:r>
      <w:r w:rsidR="00B36BC9">
        <w:rPr>
          <w:rFonts w:cs="Arial"/>
          <w:iCs/>
          <w:szCs w:val="20"/>
        </w:rPr>
        <w:t>was designed with the specific goal of accelerating</w:t>
      </w:r>
      <w:r w:rsidR="006547DA">
        <w:rPr>
          <w:rFonts w:cs="Arial"/>
          <w:iCs/>
          <w:szCs w:val="20"/>
        </w:rPr>
        <w:t xml:space="preserve"> students’ epistemological and social development</w:t>
      </w:r>
      <w:r w:rsidRPr="00656A23">
        <w:rPr>
          <w:rFonts w:cs="Arial"/>
          <w:iCs/>
          <w:szCs w:val="20"/>
        </w:rPr>
        <w:t xml:space="preserve">. </w:t>
      </w:r>
      <w:r w:rsidR="006547DA">
        <w:rPr>
          <w:rFonts w:cs="Arial"/>
          <w:iCs/>
          <w:szCs w:val="20"/>
        </w:rPr>
        <w:t xml:space="preserve"> </w:t>
      </w:r>
      <w:r w:rsidR="0059579E">
        <w:rPr>
          <w:rFonts w:cs="Arial"/>
          <w:iCs/>
          <w:szCs w:val="20"/>
        </w:rPr>
        <w:t xml:space="preserve">During the first two college years, </w:t>
      </w:r>
      <w:r w:rsidRPr="00656A23">
        <w:rPr>
          <w:rFonts w:cs="Arial"/>
          <w:szCs w:val="20"/>
        </w:rPr>
        <w:t>students participate in four consecutiv</w:t>
      </w:r>
      <w:r w:rsidR="006547DA">
        <w:rPr>
          <w:rFonts w:cs="Arial"/>
          <w:szCs w:val="20"/>
        </w:rPr>
        <w:t xml:space="preserve">e five-credit semester courses through </w:t>
      </w:r>
      <w:r w:rsidRPr="00656A23">
        <w:rPr>
          <w:rFonts w:cs="Arial"/>
          <w:szCs w:val="20"/>
        </w:rPr>
        <w:t xml:space="preserve">which they investigate </w:t>
      </w:r>
      <w:r w:rsidR="006547DA">
        <w:rPr>
          <w:rFonts w:cs="Arial"/>
          <w:szCs w:val="20"/>
        </w:rPr>
        <w:t>eight</w:t>
      </w:r>
      <w:r w:rsidRPr="00656A23">
        <w:rPr>
          <w:rFonts w:cs="Arial"/>
          <w:szCs w:val="20"/>
        </w:rPr>
        <w:t xml:space="preserve"> interdisciplinary themes beginning with </w:t>
      </w:r>
      <w:r w:rsidRPr="00656A23">
        <w:rPr>
          <w:rFonts w:cs="Arial"/>
          <w:i/>
          <w:szCs w:val="20"/>
        </w:rPr>
        <w:t>worldviews &amp; water</w:t>
      </w:r>
      <w:r w:rsidRPr="00656A23">
        <w:rPr>
          <w:rFonts w:cs="Arial"/>
          <w:szCs w:val="20"/>
        </w:rPr>
        <w:t xml:space="preserve"> in the first semester and continuing </w:t>
      </w:r>
      <w:r w:rsidR="0059579E">
        <w:rPr>
          <w:rFonts w:cs="Arial"/>
          <w:szCs w:val="20"/>
        </w:rPr>
        <w:t>onto</w:t>
      </w:r>
      <w:r w:rsidRPr="00656A23">
        <w:rPr>
          <w:rFonts w:cs="Arial"/>
          <w:szCs w:val="20"/>
        </w:rPr>
        <w:t xml:space="preserve"> </w:t>
      </w:r>
      <w:r w:rsidRPr="00656A23">
        <w:rPr>
          <w:rFonts w:cs="Arial"/>
          <w:i/>
          <w:szCs w:val="20"/>
        </w:rPr>
        <w:t>energy &amp; shelter</w:t>
      </w:r>
      <w:r w:rsidRPr="00656A23">
        <w:rPr>
          <w:rFonts w:cs="Arial"/>
          <w:szCs w:val="20"/>
        </w:rPr>
        <w:t xml:space="preserve">, </w:t>
      </w:r>
      <w:r w:rsidRPr="00656A23">
        <w:rPr>
          <w:rFonts w:cs="Arial"/>
          <w:i/>
          <w:szCs w:val="20"/>
        </w:rPr>
        <w:t>agriculture</w:t>
      </w:r>
      <w:r w:rsidR="006547DA">
        <w:rPr>
          <w:rFonts w:cs="Arial"/>
          <w:i/>
          <w:szCs w:val="20"/>
        </w:rPr>
        <w:t xml:space="preserve"> &amp; food</w:t>
      </w:r>
      <w:r w:rsidRPr="00656A23">
        <w:rPr>
          <w:rFonts w:cs="Arial"/>
          <w:szCs w:val="20"/>
        </w:rPr>
        <w:t xml:space="preserve">, and </w:t>
      </w:r>
      <w:r w:rsidRPr="00656A23">
        <w:rPr>
          <w:rFonts w:cs="Arial"/>
          <w:i/>
          <w:szCs w:val="20"/>
        </w:rPr>
        <w:t>waste, health, &amp; pathways to the future</w:t>
      </w:r>
      <w:r w:rsidRPr="00656A23">
        <w:rPr>
          <w:rFonts w:cs="Arial"/>
          <w:szCs w:val="20"/>
        </w:rPr>
        <w:t xml:space="preserve"> in the subsequent three semesters. </w:t>
      </w:r>
      <w:r w:rsidR="006547DA">
        <w:rPr>
          <w:rFonts w:cs="Arial"/>
          <w:szCs w:val="20"/>
        </w:rPr>
        <w:t xml:space="preserve"> Using </w:t>
      </w:r>
      <w:r w:rsidR="006547DA" w:rsidRPr="00656A23">
        <w:rPr>
          <w:rFonts w:cs="Arial"/>
          <w:szCs w:val="20"/>
        </w:rPr>
        <w:t>Baxter Magolda’s (2004) Learning Partnerships Model</w:t>
      </w:r>
      <w:r w:rsidR="006547DA">
        <w:rPr>
          <w:rFonts w:cs="Arial"/>
          <w:szCs w:val="20"/>
        </w:rPr>
        <w:t xml:space="preserve">, the </w:t>
      </w:r>
      <w:r w:rsidRPr="00656A23">
        <w:rPr>
          <w:rFonts w:cs="Arial"/>
          <w:szCs w:val="20"/>
        </w:rPr>
        <w:t xml:space="preserve">ES social constructivist curriculum </w:t>
      </w:r>
      <w:r w:rsidR="006547DA">
        <w:rPr>
          <w:rFonts w:cs="Arial"/>
          <w:szCs w:val="20"/>
        </w:rPr>
        <w:t>challenges and supports students</w:t>
      </w:r>
      <w:r w:rsidRPr="00656A23">
        <w:rPr>
          <w:rFonts w:cs="Arial"/>
          <w:szCs w:val="20"/>
        </w:rPr>
        <w:t xml:space="preserve"> to develop more sophisticated ways of knowing, learning, conceptualizing, and approaching unstructured interdisciplinary problems (Bekken and Marie, 2007).  As such, the series not only meets general education goals</w:t>
      </w:r>
      <w:r w:rsidR="006547DA">
        <w:rPr>
          <w:rFonts w:cs="Arial"/>
          <w:szCs w:val="20"/>
        </w:rPr>
        <w:t xml:space="preserve">, but also </w:t>
      </w:r>
      <w:r w:rsidRPr="00656A23">
        <w:rPr>
          <w:rFonts w:cs="Arial"/>
          <w:szCs w:val="20"/>
        </w:rPr>
        <w:t xml:space="preserve">instantiates the structures and pedagogies advisory groups advocate are critical to learning and </w:t>
      </w:r>
      <w:r w:rsidR="00B52258">
        <w:rPr>
          <w:rFonts w:cs="Arial"/>
          <w:szCs w:val="20"/>
        </w:rPr>
        <w:t xml:space="preserve">to </w:t>
      </w:r>
      <w:r w:rsidRPr="00656A23">
        <w:rPr>
          <w:rFonts w:cs="Arial"/>
          <w:szCs w:val="20"/>
        </w:rPr>
        <w:t>developing a scientifically literate society (AAC&amp;U, 2007; AAC&amp;U, 2005; National Center for Public Policy in Higher Education, 2004; AAC&amp;U, 2002; AAHE, ACPA &amp; NASPA, 1998; AAAS, 1989).  Three cohorts of students and faculty</w:t>
      </w:r>
      <w:r w:rsidR="00C747A5">
        <w:rPr>
          <w:rFonts w:cs="Arial"/>
          <w:szCs w:val="20"/>
        </w:rPr>
        <w:t xml:space="preserve"> have completed the ES series: </w:t>
      </w:r>
      <w:r w:rsidRPr="00656A23">
        <w:rPr>
          <w:rFonts w:cs="Arial"/>
          <w:szCs w:val="20"/>
        </w:rPr>
        <w:t>Cohort 1 (2004-2006): 23 students started, 19 finished for an 83% retention rate</w:t>
      </w:r>
      <w:r w:rsidR="00C747A5">
        <w:rPr>
          <w:rFonts w:cs="Arial"/>
          <w:szCs w:val="20"/>
        </w:rPr>
        <w:t xml:space="preserve">; </w:t>
      </w:r>
      <w:r w:rsidRPr="00656A23">
        <w:rPr>
          <w:rFonts w:cs="Arial"/>
          <w:szCs w:val="20"/>
        </w:rPr>
        <w:t>Cohort 2 (2006-2008)</w:t>
      </w:r>
      <w:r>
        <w:rPr>
          <w:rFonts w:cs="Arial"/>
          <w:szCs w:val="20"/>
        </w:rPr>
        <w:t>:</w:t>
      </w:r>
      <w:r w:rsidRPr="00656A23">
        <w:rPr>
          <w:rFonts w:cs="Arial"/>
          <w:szCs w:val="20"/>
        </w:rPr>
        <w:t xml:space="preserve"> 67 students started, 48 fi</w:t>
      </w:r>
      <w:r w:rsidR="00C747A5">
        <w:rPr>
          <w:rFonts w:cs="Arial"/>
          <w:szCs w:val="20"/>
        </w:rPr>
        <w:t xml:space="preserve">nished for a 72% retention rate, and </w:t>
      </w:r>
      <w:r w:rsidRPr="00656A23">
        <w:rPr>
          <w:rFonts w:cs="Arial"/>
          <w:szCs w:val="20"/>
        </w:rPr>
        <w:t>Cohort 3 (2008-2010)</w:t>
      </w:r>
      <w:r>
        <w:rPr>
          <w:rFonts w:cs="Arial"/>
          <w:szCs w:val="20"/>
        </w:rPr>
        <w:t>:</w:t>
      </w:r>
      <w:r w:rsidRPr="00656A23">
        <w:rPr>
          <w:rFonts w:cs="Arial"/>
          <w:szCs w:val="20"/>
        </w:rPr>
        <w:t xml:space="preserve"> 121 students started, 72 finished for a 60% retention rate.</w:t>
      </w:r>
    </w:p>
    <w:p w14:paraId="63ABB77A" w14:textId="77777777" w:rsidR="008D5B5A" w:rsidRDefault="008D5B5A" w:rsidP="00212F1A">
      <w:pPr>
        <w:ind w:firstLine="360"/>
        <w:rPr>
          <w:rFonts w:cs="Arial"/>
          <w:szCs w:val="20"/>
        </w:rPr>
      </w:pPr>
    </w:p>
    <w:p w14:paraId="4DAAA0C1" w14:textId="18226F08" w:rsidR="008D5B5A" w:rsidRPr="008D5B5A" w:rsidRDefault="008D5B5A" w:rsidP="008D5B5A">
      <w:pPr>
        <w:rPr>
          <w:rFonts w:cs="Arial"/>
          <w:i/>
          <w:szCs w:val="20"/>
        </w:rPr>
      </w:pPr>
      <w:r w:rsidRPr="008D5B5A">
        <w:rPr>
          <w:rFonts w:cs="Arial"/>
          <w:i/>
          <w:szCs w:val="20"/>
        </w:rPr>
        <w:t xml:space="preserve">What </w:t>
      </w:r>
      <w:r w:rsidR="007E4F50">
        <w:rPr>
          <w:rFonts w:cs="Arial"/>
          <w:i/>
          <w:szCs w:val="20"/>
        </w:rPr>
        <w:t>i</w:t>
      </w:r>
      <w:r>
        <w:rPr>
          <w:rFonts w:cs="Arial"/>
          <w:i/>
          <w:szCs w:val="20"/>
        </w:rPr>
        <w:t>s valuable about</w:t>
      </w:r>
      <w:r w:rsidRPr="008D5B5A">
        <w:rPr>
          <w:rFonts w:cs="Arial"/>
          <w:i/>
          <w:szCs w:val="20"/>
        </w:rPr>
        <w:t xml:space="preserve"> the Earth Sustainability program</w:t>
      </w:r>
      <w:r>
        <w:rPr>
          <w:rFonts w:cs="Arial"/>
          <w:i/>
          <w:szCs w:val="20"/>
        </w:rPr>
        <w:t xml:space="preserve"> and what </w:t>
      </w:r>
      <w:r w:rsidR="007E4F50">
        <w:rPr>
          <w:rFonts w:cs="Arial"/>
          <w:i/>
          <w:szCs w:val="20"/>
        </w:rPr>
        <w:t>has</w:t>
      </w:r>
      <w:r>
        <w:rPr>
          <w:rFonts w:cs="Arial"/>
          <w:i/>
          <w:szCs w:val="20"/>
        </w:rPr>
        <w:t xml:space="preserve"> it</w:t>
      </w:r>
      <w:r w:rsidRPr="008D5B5A">
        <w:rPr>
          <w:rFonts w:cs="Arial"/>
          <w:i/>
          <w:szCs w:val="20"/>
        </w:rPr>
        <w:t xml:space="preserve"> accomplish</w:t>
      </w:r>
      <w:r w:rsidR="007E4F50">
        <w:rPr>
          <w:rFonts w:cs="Arial"/>
          <w:i/>
          <w:szCs w:val="20"/>
        </w:rPr>
        <w:t>ed</w:t>
      </w:r>
      <w:r w:rsidRPr="008D5B5A">
        <w:rPr>
          <w:rFonts w:cs="Arial"/>
          <w:i/>
          <w:szCs w:val="20"/>
        </w:rPr>
        <w:t>?</w:t>
      </w:r>
    </w:p>
    <w:p w14:paraId="587DFA87" w14:textId="77777777" w:rsidR="003314F1" w:rsidRPr="00656A23" w:rsidRDefault="003314F1" w:rsidP="00212F1A">
      <w:pPr>
        <w:ind w:firstLine="360"/>
        <w:rPr>
          <w:rFonts w:cs="Arial"/>
          <w:szCs w:val="20"/>
        </w:rPr>
      </w:pPr>
      <w:r w:rsidRPr="00656A23">
        <w:rPr>
          <w:rFonts w:cs="Arial"/>
          <w:szCs w:val="20"/>
        </w:rPr>
        <w:t xml:space="preserve">Assessment data were collected longitudinally from all three cohorts of students and faculty and from a matched comparison group of students in the general education curriculum.  Results demonstrated that: </w:t>
      </w:r>
    </w:p>
    <w:p w14:paraId="62A8F222" w14:textId="74F87141" w:rsidR="003314F1" w:rsidRPr="00656A23" w:rsidRDefault="00310AC3" w:rsidP="00212F1A">
      <w:pPr>
        <w:numPr>
          <w:ilvl w:val="0"/>
          <w:numId w:val="3"/>
        </w:numPr>
        <w:rPr>
          <w:rFonts w:cs="Arial"/>
          <w:szCs w:val="20"/>
        </w:rPr>
      </w:pPr>
      <w:r>
        <w:rPr>
          <w:rFonts w:cs="Arial"/>
          <w:szCs w:val="20"/>
        </w:rPr>
        <w:t>In contrast to students in the general education comparison group, n</w:t>
      </w:r>
      <w:r w:rsidR="003314F1" w:rsidRPr="00656A23">
        <w:rPr>
          <w:rFonts w:cs="Arial"/>
          <w:szCs w:val="20"/>
        </w:rPr>
        <w:t>on-STEM majors developed a neutral to positive view of both the value and ability of STEM disciplinary knowledge a</w:t>
      </w:r>
      <w:r w:rsidR="003314F1">
        <w:rPr>
          <w:rFonts w:cs="Arial"/>
          <w:szCs w:val="20"/>
        </w:rPr>
        <w:t>nd practices</w:t>
      </w:r>
      <w:r w:rsidR="003314F1" w:rsidRPr="00656A23">
        <w:rPr>
          <w:rFonts w:cs="Arial"/>
          <w:szCs w:val="20"/>
        </w:rPr>
        <w:t xml:space="preserve"> to inform current and societally relevant problems;</w:t>
      </w:r>
    </w:p>
    <w:p w14:paraId="065DE87C" w14:textId="77777777" w:rsidR="003314F1" w:rsidRPr="00656A23" w:rsidRDefault="003314F1" w:rsidP="00212F1A">
      <w:pPr>
        <w:numPr>
          <w:ilvl w:val="0"/>
          <w:numId w:val="3"/>
        </w:numPr>
        <w:rPr>
          <w:rFonts w:cs="Arial"/>
          <w:szCs w:val="20"/>
        </w:rPr>
      </w:pPr>
      <w:r>
        <w:rPr>
          <w:rFonts w:cs="Arial"/>
          <w:szCs w:val="20"/>
        </w:rPr>
        <w:t>ES s</w:t>
      </w:r>
      <w:r w:rsidRPr="00656A23">
        <w:rPr>
          <w:rFonts w:cs="Arial"/>
          <w:szCs w:val="20"/>
        </w:rPr>
        <w:t xml:space="preserve">tudents’ epistemological development, beliefs about learning, and intrinsic motivation were significantly advanced in comparison with students in traditional programs (Olsen et al., 2011); </w:t>
      </w:r>
    </w:p>
    <w:p w14:paraId="5BAC8043" w14:textId="0A9556A9" w:rsidR="003314F1" w:rsidRDefault="003314F1" w:rsidP="00212F1A">
      <w:pPr>
        <w:numPr>
          <w:ilvl w:val="0"/>
          <w:numId w:val="3"/>
        </w:numPr>
        <w:rPr>
          <w:rFonts w:cs="Arial"/>
          <w:szCs w:val="20"/>
        </w:rPr>
      </w:pPr>
      <w:r w:rsidRPr="00656A23">
        <w:rPr>
          <w:rFonts w:cs="Arial"/>
          <w:szCs w:val="20"/>
        </w:rPr>
        <w:t>Students’ advanced epistemological positions, learning beliefs, and intrinsic motivation correlated with their development of more effect</w:t>
      </w:r>
      <w:r w:rsidR="005F129E">
        <w:rPr>
          <w:rFonts w:cs="Arial"/>
          <w:szCs w:val="20"/>
        </w:rPr>
        <w:t>ive strategies for learning;</w:t>
      </w:r>
    </w:p>
    <w:p w14:paraId="03C1726B" w14:textId="5628361D" w:rsidR="00B52258" w:rsidRDefault="00B52258" w:rsidP="00212F1A">
      <w:pPr>
        <w:numPr>
          <w:ilvl w:val="0"/>
          <w:numId w:val="3"/>
        </w:numPr>
        <w:rPr>
          <w:rFonts w:cs="Arial"/>
          <w:szCs w:val="20"/>
        </w:rPr>
      </w:pPr>
      <w:r>
        <w:rPr>
          <w:rFonts w:cs="Arial"/>
          <w:szCs w:val="20"/>
        </w:rPr>
        <w:t xml:space="preserve">Student self-reports indicated that the STEM-saturated interdisciplinary design of the ES series positively impacted </w:t>
      </w:r>
      <w:r w:rsidR="00DE48E8">
        <w:rPr>
          <w:rFonts w:cs="Arial"/>
          <w:szCs w:val="20"/>
        </w:rPr>
        <w:t>students’</w:t>
      </w:r>
      <w:r>
        <w:rPr>
          <w:rFonts w:cs="Arial"/>
          <w:szCs w:val="20"/>
        </w:rPr>
        <w:t xml:space="preserve"> ability to </w:t>
      </w:r>
      <w:r w:rsidR="00DE48E8">
        <w:rPr>
          <w:rFonts w:cs="Arial"/>
          <w:szCs w:val="20"/>
        </w:rPr>
        <w:t>embrace complexity, grasp interdisciplinary issues through multiple disciplinary lenses, broaden their “useful” knowledge base, support transfer, respect diverse intellectual, social, and professional perspectives, and develop into more self-directed and self-efficacious</w:t>
      </w:r>
      <w:r w:rsidR="005F129E">
        <w:rPr>
          <w:rFonts w:cs="Arial"/>
          <w:szCs w:val="20"/>
        </w:rPr>
        <w:t xml:space="preserve"> creative and critical thinkers;</w:t>
      </w:r>
    </w:p>
    <w:p w14:paraId="2F4F31D0" w14:textId="2016A371" w:rsidR="00DE48E8" w:rsidRPr="00656A23" w:rsidRDefault="00212F1A" w:rsidP="00212F1A">
      <w:pPr>
        <w:numPr>
          <w:ilvl w:val="0"/>
          <w:numId w:val="3"/>
        </w:numPr>
        <w:rPr>
          <w:rFonts w:cs="Arial"/>
          <w:szCs w:val="20"/>
        </w:rPr>
      </w:pPr>
      <w:r>
        <w:rPr>
          <w:rFonts w:cs="Arial"/>
          <w:szCs w:val="20"/>
        </w:rPr>
        <w:t>More than half of the g</w:t>
      </w:r>
      <w:r w:rsidR="00DE48E8">
        <w:rPr>
          <w:rFonts w:cs="Arial"/>
          <w:szCs w:val="20"/>
        </w:rPr>
        <w:t xml:space="preserve">raduating seniors </w:t>
      </w:r>
      <w:r w:rsidR="00310AC3">
        <w:rPr>
          <w:rFonts w:cs="Arial"/>
          <w:szCs w:val="20"/>
        </w:rPr>
        <w:t xml:space="preserve">who </w:t>
      </w:r>
      <w:r>
        <w:rPr>
          <w:rFonts w:cs="Arial"/>
          <w:szCs w:val="20"/>
        </w:rPr>
        <w:t>participated in the ES program in their first- and second-years cited the ES experience as the most valuable learning experience of their undergraduate experience.</w:t>
      </w:r>
      <w:r w:rsidR="00310AC3">
        <w:rPr>
          <w:rFonts w:cs="Arial"/>
          <w:szCs w:val="20"/>
        </w:rPr>
        <w:t xml:space="preserve">  </w:t>
      </w:r>
      <w:r w:rsidR="005F129E">
        <w:rPr>
          <w:rFonts w:cs="Arial"/>
          <w:szCs w:val="20"/>
        </w:rPr>
        <w:t>ES</w:t>
      </w:r>
      <w:r w:rsidR="00310AC3">
        <w:rPr>
          <w:rFonts w:cs="Arial"/>
          <w:szCs w:val="20"/>
        </w:rPr>
        <w:t xml:space="preserve"> students were also twice as likely to have formulated specific career goals or educational trajectories just prior to graduation.</w:t>
      </w:r>
    </w:p>
    <w:p w14:paraId="0C36C238" w14:textId="77777777" w:rsidR="003314F1" w:rsidRPr="00656A23" w:rsidRDefault="003314F1" w:rsidP="00212F1A">
      <w:pPr>
        <w:rPr>
          <w:rFonts w:cs="Arial"/>
          <w:i/>
          <w:iCs/>
          <w:szCs w:val="20"/>
        </w:rPr>
      </w:pPr>
    </w:p>
    <w:p w14:paraId="2BC5A707" w14:textId="159E710B" w:rsidR="003314F1" w:rsidRPr="00656A23" w:rsidRDefault="007E4F50" w:rsidP="00212F1A">
      <w:pPr>
        <w:rPr>
          <w:rFonts w:cs="Arial"/>
          <w:szCs w:val="20"/>
        </w:rPr>
      </w:pPr>
      <w:r>
        <w:rPr>
          <w:rFonts w:cs="Arial"/>
          <w:i/>
          <w:iCs/>
          <w:szCs w:val="20"/>
        </w:rPr>
        <w:t>What</w:t>
      </w:r>
      <w:r w:rsidR="008D5B5A">
        <w:rPr>
          <w:rFonts w:cs="Arial"/>
          <w:i/>
          <w:iCs/>
          <w:szCs w:val="20"/>
        </w:rPr>
        <w:t xml:space="preserve"> k</w:t>
      </w:r>
      <w:r w:rsidR="003314F1" w:rsidRPr="00656A23">
        <w:rPr>
          <w:rFonts w:cs="Arial"/>
          <w:i/>
          <w:iCs/>
          <w:szCs w:val="20"/>
        </w:rPr>
        <w:t>ey lessons</w:t>
      </w:r>
      <w:r>
        <w:rPr>
          <w:rFonts w:cs="Arial"/>
          <w:i/>
          <w:iCs/>
          <w:szCs w:val="20"/>
        </w:rPr>
        <w:t xml:space="preserve"> were</w:t>
      </w:r>
      <w:r w:rsidR="003314F1" w:rsidRPr="00656A23">
        <w:rPr>
          <w:rFonts w:cs="Arial"/>
          <w:i/>
          <w:iCs/>
          <w:szCs w:val="20"/>
        </w:rPr>
        <w:t xml:space="preserve"> learned from longitudinal assessment of student learning</w:t>
      </w:r>
      <w:r w:rsidR="008D5B5A">
        <w:rPr>
          <w:rFonts w:cs="Arial"/>
          <w:i/>
          <w:iCs/>
          <w:szCs w:val="20"/>
        </w:rPr>
        <w:t xml:space="preserve"> over three cohorts?</w:t>
      </w:r>
    </w:p>
    <w:p w14:paraId="58A5725C" w14:textId="77777777" w:rsidR="003314F1" w:rsidRPr="00656A23" w:rsidRDefault="003314F1" w:rsidP="00212F1A">
      <w:pPr>
        <w:numPr>
          <w:ilvl w:val="0"/>
          <w:numId w:val="4"/>
        </w:numPr>
        <w:rPr>
          <w:rFonts w:cs="Arial"/>
          <w:szCs w:val="20"/>
        </w:rPr>
      </w:pPr>
      <w:r w:rsidRPr="00656A23">
        <w:rPr>
          <w:rFonts w:cs="Arial"/>
          <w:i/>
          <w:iCs/>
          <w:szCs w:val="20"/>
          <w:u w:val="single"/>
        </w:rPr>
        <w:t>Epistemological beliefs</w:t>
      </w:r>
      <w:r w:rsidRPr="00656A23">
        <w:rPr>
          <w:rFonts w:cs="Arial"/>
          <w:szCs w:val="20"/>
        </w:rPr>
        <w:t xml:space="preserve">.  After two years, ES students held more sophisticated conceptions of the nature of knowledge than non-ES students. ES students were also less likely to be confused by unstructured knowledge or to hold naïve beliefs about the certainty of knowledge.  </w:t>
      </w:r>
    </w:p>
    <w:p w14:paraId="5E2123D0" w14:textId="77777777" w:rsidR="003314F1" w:rsidRPr="00656A23" w:rsidRDefault="003314F1" w:rsidP="00212F1A">
      <w:pPr>
        <w:numPr>
          <w:ilvl w:val="0"/>
          <w:numId w:val="4"/>
        </w:numPr>
        <w:rPr>
          <w:rFonts w:cs="Arial"/>
          <w:szCs w:val="20"/>
        </w:rPr>
      </w:pPr>
      <w:r w:rsidRPr="00656A23">
        <w:rPr>
          <w:rFonts w:cs="Arial"/>
          <w:i/>
          <w:iCs/>
          <w:szCs w:val="20"/>
          <w:u w:val="single"/>
        </w:rPr>
        <w:t>Learning beliefs</w:t>
      </w:r>
      <w:r w:rsidRPr="00656A23">
        <w:rPr>
          <w:rFonts w:cs="Arial"/>
          <w:szCs w:val="20"/>
        </w:rPr>
        <w:t xml:space="preserve">.  ES students: 1) were more likely to believe that they could produce a desired </w:t>
      </w:r>
      <w:r w:rsidRPr="00656A23">
        <w:rPr>
          <w:rFonts w:cs="Arial"/>
          <w:iCs/>
          <w:szCs w:val="20"/>
        </w:rPr>
        <w:t>learning</w:t>
      </w:r>
      <w:r w:rsidRPr="00656A23">
        <w:rPr>
          <w:rFonts w:cs="Arial"/>
          <w:szCs w:val="20"/>
        </w:rPr>
        <w:t xml:space="preserve"> result, 2) held more </w:t>
      </w:r>
      <w:r>
        <w:rPr>
          <w:rFonts w:cs="Arial"/>
          <w:szCs w:val="20"/>
        </w:rPr>
        <w:t>sophisticated</w:t>
      </w:r>
      <w:r w:rsidRPr="00656A23">
        <w:rPr>
          <w:rFonts w:cs="Arial"/>
          <w:szCs w:val="20"/>
        </w:rPr>
        <w:t xml:space="preserve"> beliefs about learning, and 3) were less likely to believe that “learning is quick” than non-ES students. </w:t>
      </w:r>
    </w:p>
    <w:p w14:paraId="3867CE16" w14:textId="77777777" w:rsidR="003314F1" w:rsidRPr="00656A23" w:rsidRDefault="003314F1" w:rsidP="00212F1A">
      <w:pPr>
        <w:numPr>
          <w:ilvl w:val="0"/>
          <w:numId w:val="4"/>
        </w:numPr>
        <w:rPr>
          <w:rFonts w:cs="Arial"/>
          <w:szCs w:val="20"/>
        </w:rPr>
      </w:pPr>
      <w:r w:rsidRPr="00656A23">
        <w:rPr>
          <w:rFonts w:cs="Arial"/>
          <w:i/>
          <w:iCs/>
          <w:szCs w:val="20"/>
          <w:u w:val="single"/>
        </w:rPr>
        <w:t>Motivation</w:t>
      </w:r>
      <w:r w:rsidRPr="00656A23">
        <w:rPr>
          <w:rFonts w:cs="Arial"/>
          <w:szCs w:val="20"/>
        </w:rPr>
        <w:t xml:space="preserve">. Although students in the ES group entered the program with higher intrinsic goal orientation on average, over time </w:t>
      </w:r>
      <w:r w:rsidRPr="00656A23">
        <w:rPr>
          <w:rFonts w:cs="Arial"/>
          <w:iCs/>
          <w:szCs w:val="20"/>
        </w:rPr>
        <w:t xml:space="preserve">intrinsic goal orientation </w:t>
      </w:r>
      <w:r w:rsidRPr="00656A23">
        <w:rPr>
          <w:rFonts w:cs="Arial"/>
          <w:szCs w:val="20"/>
        </w:rPr>
        <w:t xml:space="preserve">grew in comparison to non-ES students, even while holding constant students' epistemic beliefs.  Thus, participating in the ES program had a positive and direct effect on students' </w:t>
      </w:r>
      <w:r w:rsidRPr="00656A23">
        <w:rPr>
          <w:rFonts w:cs="Arial"/>
          <w:iCs/>
          <w:szCs w:val="20"/>
        </w:rPr>
        <w:t xml:space="preserve">motivation </w:t>
      </w:r>
      <w:r w:rsidRPr="00656A23">
        <w:rPr>
          <w:rFonts w:cs="Arial"/>
          <w:szCs w:val="20"/>
        </w:rPr>
        <w:t xml:space="preserve">to learn. </w:t>
      </w:r>
    </w:p>
    <w:p w14:paraId="22A35178" w14:textId="77777777" w:rsidR="003314F1" w:rsidRPr="00656A23" w:rsidRDefault="003314F1" w:rsidP="00212F1A">
      <w:pPr>
        <w:numPr>
          <w:ilvl w:val="0"/>
          <w:numId w:val="4"/>
        </w:numPr>
        <w:rPr>
          <w:rFonts w:cs="Arial"/>
          <w:szCs w:val="20"/>
        </w:rPr>
      </w:pPr>
      <w:r w:rsidRPr="00656A23">
        <w:rPr>
          <w:rFonts w:cs="Arial"/>
          <w:i/>
          <w:iCs/>
          <w:szCs w:val="20"/>
          <w:u w:val="single"/>
        </w:rPr>
        <w:lastRenderedPageBreak/>
        <w:t>Interdisciplinarity.</w:t>
      </w:r>
      <w:r w:rsidRPr="00656A23">
        <w:rPr>
          <w:rFonts w:cs="Arial"/>
          <w:i/>
          <w:iCs/>
          <w:szCs w:val="20"/>
        </w:rPr>
        <w:t xml:space="preserve"> </w:t>
      </w:r>
      <w:r w:rsidRPr="00656A23">
        <w:rPr>
          <w:rFonts w:cs="Arial"/>
          <w:iCs/>
          <w:szCs w:val="20"/>
        </w:rPr>
        <w:t xml:space="preserve"> Using the interdisciplinary writing rubric of Boix Mansilla et al. (2009), ES students’ ability to use two or more disciplinary lenses to inform an interdisciplinary problem had, on average, advanced from naïve to apprentice levels over the two year ES program.  Exit interviews with ES students indicated that most had developed confidence in their ability to integrate and transfer content knowledge within and between disciplinary areas and had gained an appreciation for the value of multi-disciplinary ways of knowing (well outside their majors).  The vast majority of those interviewed attributed their experiences in the ES learning community to development of these skills.  This finding also was observed during exit interviews with graduating seniors who had completed the ES series two years earlier.  </w:t>
      </w:r>
    </w:p>
    <w:p w14:paraId="6E792668" w14:textId="471E77D6" w:rsidR="003314F1" w:rsidRDefault="003314F1" w:rsidP="00212F1A">
      <w:pPr>
        <w:numPr>
          <w:ilvl w:val="0"/>
          <w:numId w:val="4"/>
        </w:numPr>
        <w:rPr>
          <w:rFonts w:cs="Arial"/>
          <w:szCs w:val="20"/>
        </w:rPr>
      </w:pPr>
      <w:r w:rsidRPr="00656A23">
        <w:rPr>
          <w:rFonts w:cs="Arial"/>
          <w:i/>
          <w:iCs/>
          <w:szCs w:val="20"/>
          <w:u w:val="single"/>
        </w:rPr>
        <w:t>S</w:t>
      </w:r>
      <w:r w:rsidR="00625378">
        <w:rPr>
          <w:rFonts w:cs="Arial"/>
          <w:i/>
          <w:iCs/>
          <w:szCs w:val="20"/>
          <w:u w:val="single"/>
        </w:rPr>
        <w:t>TEM</w:t>
      </w:r>
      <w:r w:rsidRPr="00656A23">
        <w:rPr>
          <w:rFonts w:cs="Arial"/>
          <w:i/>
          <w:iCs/>
          <w:szCs w:val="20"/>
          <w:u w:val="single"/>
        </w:rPr>
        <w:t xml:space="preserve"> education.</w:t>
      </w:r>
      <w:r w:rsidRPr="00656A23">
        <w:rPr>
          <w:rFonts w:cs="Arial"/>
          <w:szCs w:val="20"/>
        </w:rPr>
        <w:t xml:space="preserve">  Exit interviews of ES students showed that the majority of non-STEM majors had shifted their positions on their inherent “interest in science” from largely unfavorable to largely favorable over the course of the program.  </w:t>
      </w:r>
    </w:p>
    <w:p w14:paraId="38C35E5D" w14:textId="77777777" w:rsidR="003314F1" w:rsidRDefault="003314F1" w:rsidP="00212F1A">
      <w:pPr>
        <w:rPr>
          <w:rFonts w:cs="Arial"/>
          <w:szCs w:val="20"/>
        </w:rPr>
      </w:pPr>
    </w:p>
    <w:p w14:paraId="3A07F5EB" w14:textId="274DF4F0" w:rsidR="003314F1" w:rsidRPr="001C341A" w:rsidRDefault="00B3342A" w:rsidP="00212F1A">
      <w:pPr>
        <w:rPr>
          <w:rFonts w:cs="Arial"/>
          <w:i/>
          <w:szCs w:val="20"/>
        </w:rPr>
      </w:pPr>
      <w:r>
        <w:rPr>
          <w:rFonts w:cs="Arial"/>
          <w:i/>
          <w:szCs w:val="20"/>
        </w:rPr>
        <w:t>What were the greatest c</w:t>
      </w:r>
      <w:r w:rsidR="003314F1">
        <w:rPr>
          <w:rFonts w:cs="Arial"/>
          <w:i/>
          <w:szCs w:val="20"/>
        </w:rPr>
        <w:t xml:space="preserve">hallenges </w:t>
      </w:r>
      <w:r w:rsidR="003314F1" w:rsidRPr="001C341A">
        <w:rPr>
          <w:rFonts w:cs="Arial"/>
          <w:i/>
          <w:szCs w:val="20"/>
        </w:rPr>
        <w:t xml:space="preserve">to </w:t>
      </w:r>
      <w:r>
        <w:rPr>
          <w:rFonts w:cs="Arial"/>
          <w:i/>
          <w:szCs w:val="20"/>
        </w:rPr>
        <w:t>offering the Earth Sustainability program?</w:t>
      </w:r>
    </w:p>
    <w:p w14:paraId="5E7213EF" w14:textId="6500833D" w:rsidR="003314F1" w:rsidRDefault="003314F1" w:rsidP="005B3495">
      <w:pPr>
        <w:ind w:firstLine="360"/>
        <w:rPr>
          <w:rFonts w:cs="Arial"/>
          <w:szCs w:val="20"/>
        </w:rPr>
      </w:pPr>
      <w:r>
        <w:rPr>
          <w:rFonts w:cs="Arial"/>
          <w:szCs w:val="20"/>
        </w:rPr>
        <w:t>After six years of university funding, a parallel NSF-supported study, and considerable documented learning gains, funding for the ES program was cut during the budget crises of the 2010-2011 academic year.  As an</w:t>
      </w:r>
      <w:r w:rsidR="00B3342A">
        <w:rPr>
          <w:rFonts w:cs="Arial"/>
          <w:szCs w:val="20"/>
        </w:rPr>
        <w:t xml:space="preserve"> </w:t>
      </w:r>
      <w:r>
        <w:rPr>
          <w:rFonts w:cs="Arial"/>
          <w:szCs w:val="20"/>
        </w:rPr>
        <w:t>interdisciplinary program, Earth Sustainability had no collegiate or departmental “home” and, as a result, no advocates willing to fund it.  Given the tremendous learning gains demonstrated by the ES program assessment, we were disheartened but not surprised by this outcome because there is little room to experiment in the shrinking budgetary landscape of disciplinary driven funding structures.  In essence, to support interdisciplinary programming in the long term, it needs to be institutionalized.  As a community of scholars, we need to encourage administrative faculty to re-envision both the administrative and budgetary structures that restrict funding to traditional silos, thereby choking the development of interdisciplinary, cross-disciplinary, multi-disciplinary and trans-disciplinary programming</w:t>
      </w:r>
      <w:r w:rsidR="00341E6C">
        <w:rPr>
          <w:rFonts w:cs="Arial"/>
          <w:szCs w:val="20"/>
        </w:rPr>
        <w:t>, wherein, as we have documented, student-learning gains can be acute</w:t>
      </w:r>
      <w:r>
        <w:rPr>
          <w:rFonts w:cs="Arial"/>
          <w:szCs w:val="20"/>
        </w:rPr>
        <w:t xml:space="preserve">.   </w:t>
      </w:r>
      <w:r w:rsidR="00341E6C">
        <w:rPr>
          <w:rFonts w:cs="Arial"/>
          <w:szCs w:val="20"/>
        </w:rPr>
        <w:t>Our</w:t>
      </w:r>
      <w:r>
        <w:rPr>
          <w:rFonts w:cs="Arial"/>
          <w:szCs w:val="20"/>
        </w:rPr>
        <w:t xml:space="preserve"> data </w:t>
      </w:r>
      <w:r w:rsidR="00341E6C">
        <w:rPr>
          <w:rFonts w:cs="Arial"/>
          <w:szCs w:val="20"/>
        </w:rPr>
        <w:t>demonstrate</w:t>
      </w:r>
      <w:r>
        <w:rPr>
          <w:rFonts w:cs="Arial"/>
          <w:szCs w:val="20"/>
        </w:rPr>
        <w:t xml:space="preserve"> the value of interdisciplinary programming</w:t>
      </w:r>
      <w:r w:rsidR="00B3342A">
        <w:rPr>
          <w:rFonts w:cs="Arial"/>
          <w:szCs w:val="20"/>
        </w:rPr>
        <w:t xml:space="preserve"> to build knowledge</w:t>
      </w:r>
      <w:r w:rsidR="00A91C4C">
        <w:rPr>
          <w:rFonts w:cs="Arial"/>
          <w:szCs w:val="20"/>
        </w:rPr>
        <w:t xml:space="preserve"> structures, facilitate transfer, and encourage cognitive and social development</w:t>
      </w:r>
      <w:r>
        <w:rPr>
          <w:rFonts w:cs="Arial"/>
          <w:szCs w:val="20"/>
        </w:rPr>
        <w:t xml:space="preserve">.  We need to act constructively to ensure </w:t>
      </w:r>
      <w:r w:rsidR="00A91C4C">
        <w:rPr>
          <w:rFonts w:cs="Arial"/>
          <w:szCs w:val="20"/>
        </w:rPr>
        <w:t>that STEM-based interdisciplinary programs have</w:t>
      </w:r>
      <w:r w:rsidR="00B3342A">
        <w:rPr>
          <w:rFonts w:cs="Arial"/>
          <w:szCs w:val="20"/>
        </w:rPr>
        <w:t xml:space="preserve"> secure home</w:t>
      </w:r>
      <w:r w:rsidR="00A91C4C">
        <w:rPr>
          <w:rFonts w:cs="Arial"/>
          <w:szCs w:val="20"/>
        </w:rPr>
        <w:t>s</w:t>
      </w:r>
      <w:r w:rsidR="00B3342A">
        <w:rPr>
          <w:rFonts w:cs="Arial"/>
          <w:szCs w:val="20"/>
        </w:rPr>
        <w:t xml:space="preserve"> and future</w:t>
      </w:r>
      <w:r w:rsidR="00A91C4C">
        <w:rPr>
          <w:rFonts w:cs="Arial"/>
          <w:szCs w:val="20"/>
        </w:rPr>
        <w:t>s</w:t>
      </w:r>
      <w:r>
        <w:rPr>
          <w:rFonts w:cs="Arial"/>
          <w:szCs w:val="20"/>
        </w:rPr>
        <w:t>.</w:t>
      </w:r>
    </w:p>
    <w:p w14:paraId="59739050" w14:textId="77777777" w:rsidR="00C42E93" w:rsidRDefault="00C42E93" w:rsidP="00212F1A">
      <w:pPr>
        <w:ind w:firstLine="720"/>
        <w:rPr>
          <w:rFonts w:cs="Arial"/>
          <w:szCs w:val="20"/>
        </w:rPr>
      </w:pPr>
    </w:p>
    <w:p w14:paraId="26953011" w14:textId="21664290" w:rsidR="00A91C4C" w:rsidRDefault="00A91C4C" w:rsidP="00C42E93">
      <w:pPr>
        <w:tabs>
          <w:tab w:val="left" w:pos="360"/>
        </w:tabs>
        <w:rPr>
          <w:bCs/>
          <w:i/>
        </w:rPr>
      </w:pPr>
      <w:r>
        <w:rPr>
          <w:bCs/>
          <w:i/>
        </w:rPr>
        <w:t>How does interdisciplinary and integrative programming prepare students for careers?</w:t>
      </w:r>
    </w:p>
    <w:p w14:paraId="4483A736" w14:textId="00696131" w:rsidR="00C42E93" w:rsidRPr="007E4F50" w:rsidRDefault="00C42E93" w:rsidP="007E4F50">
      <w:pPr>
        <w:tabs>
          <w:tab w:val="left" w:pos="360"/>
        </w:tabs>
      </w:pPr>
      <w:r>
        <w:tab/>
      </w:r>
      <w:r w:rsidR="00A91C4C">
        <w:t xml:space="preserve">To determine what affect the </w:t>
      </w:r>
      <w:r w:rsidR="007E4F50">
        <w:t xml:space="preserve">ES </w:t>
      </w:r>
      <w:r w:rsidR="00A91C4C">
        <w:t>program may have add on preparing students for careers, we interviewed graduating seniors fr</w:t>
      </w:r>
      <w:r w:rsidR="007E4F50">
        <w:t>om both the ES program and the c</w:t>
      </w:r>
      <w:r w:rsidR="00A91C4C">
        <w:t>omparison group about</w:t>
      </w:r>
      <w:r w:rsidR="007E4F50">
        <w:t xml:space="preserve"> their career </w:t>
      </w:r>
      <w:r w:rsidR="00B62151">
        <w:t>visions, goals, and strategies</w:t>
      </w:r>
      <w:r w:rsidR="007E4F50">
        <w:t xml:space="preserve"> for achieving</w:t>
      </w:r>
      <w:r w:rsidR="00A91C4C">
        <w:t xml:space="preserve"> those goals.  We found </w:t>
      </w:r>
      <w:r w:rsidR="007E4F50">
        <w:t>significant differences</w:t>
      </w:r>
      <w:r w:rsidR="00A91C4C">
        <w:t xml:space="preserve"> between the </w:t>
      </w:r>
      <w:r w:rsidR="007E4F50">
        <w:t xml:space="preserve">two groups of students.  </w:t>
      </w:r>
      <w:r w:rsidRPr="00A21D16">
        <w:t>Over each of the three summers</w:t>
      </w:r>
      <w:r w:rsidR="00833E34">
        <w:t xml:space="preserve"> between freshman and senior years, ES students were half again as likely to report</w:t>
      </w:r>
      <w:r w:rsidRPr="00A21D16">
        <w:t xml:space="preserve"> working in jobs that were relevant to their future</w:t>
      </w:r>
      <w:r w:rsidR="00833E34">
        <w:t xml:space="preserve"> career goals in comparison to students in the traditional general education programming</w:t>
      </w:r>
      <w:r w:rsidRPr="00A21D16">
        <w:t>.</w:t>
      </w:r>
      <w:r w:rsidR="00B62151">
        <w:t xml:space="preserve">  G</w:t>
      </w:r>
      <w:r w:rsidR="00833E34">
        <w:t xml:space="preserve">raduating </w:t>
      </w:r>
      <w:r w:rsidRPr="00927695">
        <w:t xml:space="preserve">ES students were almost twice as likely to have identified focused long-term professional and personal goals than </w:t>
      </w:r>
      <w:r w:rsidR="00833E34">
        <w:t xml:space="preserve">graduating seniors </w:t>
      </w:r>
      <w:r w:rsidR="007E4F50">
        <w:t>in the c</w:t>
      </w:r>
      <w:r w:rsidRPr="00927695">
        <w:t xml:space="preserve">omparison group.  Further, all ES students with definite plans to continue their education </w:t>
      </w:r>
      <w:r w:rsidR="007E4F50">
        <w:t>could articulate</w:t>
      </w:r>
      <w:r w:rsidRPr="00927695">
        <w:t xml:space="preserve"> a professional argument for why further graduate education was necessary.  This finding contrasts with </w:t>
      </w:r>
      <w:r w:rsidR="00833E34">
        <w:t>more than half of the</w:t>
      </w:r>
      <w:r w:rsidR="007E4F50">
        <w:t xml:space="preserve"> c</w:t>
      </w:r>
      <w:r w:rsidRPr="00927695">
        <w:t>omparison students who cited vague reasons for continuing their education</w:t>
      </w:r>
      <w:r w:rsidR="00833E34">
        <w:t>.</w:t>
      </w:r>
      <w:r w:rsidR="007E4F50">
        <w:t xml:space="preserve">  </w:t>
      </w:r>
      <w:r w:rsidR="00833E34" w:rsidRPr="00A21D16">
        <w:t>While these results are based on a small number of students</w:t>
      </w:r>
      <w:r w:rsidR="007E4F50">
        <w:t xml:space="preserve"> (n=37)</w:t>
      </w:r>
      <w:r w:rsidR="00833E34" w:rsidRPr="00A21D16">
        <w:t>, they are suggestive that the developmental gains made by students in the ES series influence</w:t>
      </w:r>
      <w:r w:rsidR="007E4F50">
        <w:t xml:space="preserve"> </w:t>
      </w:r>
      <w:r w:rsidR="00833E34" w:rsidRPr="00A21D16">
        <w:t>their choice</w:t>
      </w:r>
      <w:r w:rsidR="007E4F50">
        <w:t xml:space="preserve"> of summer jobs and internships</w:t>
      </w:r>
      <w:r w:rsidR="00833E34" w:rsidRPr="00A21D16">
        <w:t xml:space="preserve"> and stimulate greater clarity around thei</w:t>
      </w:r>
      <w:r w:rsidR="00B62151">
        <w:t xml:space="preserve">r professional plans and </w:t>
      </w:r>
      <w:r w:rsidR="00833E34" w:rsidRPr="00A21D16">
        <w:t>goals.</w:t>
      </w:r>
    </w:p>
    <w:p w14:paraId="09B294D1" w14:textId="77777777" w:rsidR="00C42E93" w:rsidRPr="00656A23" w:rsidRDefault="00C42E93" w:rsidP="00212F1A">
      <w:pPr>
        <w:rPr>
          <w:rFonts w:cs="Arial"/>
          <w:szCs w:val="20"/>
        </w:rPr>
      </w:pPr>
    </w:p>
    <w:p w14:paraId="2303DED5" w14:textId="77777777" w:rsidR="003314F1" w:rsidRPr="00656A23" w:rsidRDefault="003314F1" w:rsidP="00212F1A">
      <w:pPr>
        <w:rPr>
          <w:rFonts w:cs="Arial"/>
          <w:i/>
          <w:szCs w:val="20"/>
        </w:rPr>
      </w:pPr>
      <w:r w:rsidRPr="00656A23">
        <w:rPr>
          <w:rFonts w:cs="Arial"/>
          <w:i/>
          <w:szCs w:val="20"/>
        </w:rPr>
        <w:t>References Cited</w:t>
      </w:r>
    </w:p>
    <w:p w14:paraId="6688611A" w14:textId="77777777" w:rsidR="003314F1" w:rsidRPr="00656A23" w:rsidRDefault="003314F1" w:rsidP="00212F1A">
      <w:pPr>
        <w:tabs>
          <w:tab w:val="left" w:pos="360"/>
        </w:tabs>
        <w:ind w:left="360" w:hanging="360"/>
        <w:rPr>
          <w:rFonts w:cs="Arial"/>
          <w:szCs w:val="20"/>
        </w:rPr>
      </w:pPr>
      <w:r w:rsidRPr="00656A23">
        <w:rPr>
          <w:rFonts w:cs="Arial"/>
          <w:szCs w:val="20"/>
        </w:rPr>
        <w:t xml:space="preserve">American Association for the Advancement of Science (1989). </w:t>
      </w:r>
      <w:r w:rsidRPr="00656A23">
        <w:rPr>
          <w:rFonts w:cs="Arial"/>
          <w:i/>
          <w:iCs/>
          <w:szCs w:val="20"/>
        </w:rPr>
        <w:t>Science for all Americans: Project 2061</w:t>
      </w:r>
      <w:r w:rsidRPr="00656A23">
        <w:rPr>
          <w:rFonts w:cs="Arial"/>
          <w:szCs w:val="20"/>
        </w:rPr>
        <w:t>, Oxford University Press, NY: Author.</w:t>
      </w:r>
    </w:p>
    <w:p w14:paraId="1902067A" w14:textId="77777777" w:rsidR="003314F1" w:rsidRPr="00656A23" w:rsidRDefault="003314F1" w:rsidP="00212F1A">
      <w:pPr>
        <w:tabs>
          <w:tab w:val="left" w:pos="360"/>
        </w:tabs>
        <w:ind w:left="360" w:hanging="360"/>
        <w:rPr>
          <w:rFonts w:cs="Arial"/>
          <w:szCs w:val="20"/>
        </w:rPr>
      </w:pPr>
      <w:r w:rsidRPr="00656A23">
        <w:rPr>
          <w:rFonts w:cs="Arial"/>
          <w:szCs w:val="20"/>
        </w:rPr>
        <w:t xml:space="preserve">American Association of Higher Education, American College Personnel Association, &amp; National Association of Student Personnel Administrators. (1998). </w:t>
      </w:r>
      <w:r w:rsidRPr="00656A23">
        <w:rPr>
          <w:rFonts w:cs="Arial"/>
          <w:i/>
          <w:iCs/>
          <w:szCs w:val="20"/>
        </w:rPr>
        <w:t xml:space="preserve">Powerful partnerships: A shared responsibility for learning. </w:t>
      </w:r>
      <w:r w:rsidRPr="00656A23">
        <w:rPr>
          <w:rFonts w:cs="Arial"/>
          <w:szCs w:val="20"/>
        </w:rPr>
        <w:t>Washington DC: Author.</w:t>
      </w:r>
    </w:p>
    <w:p w14:paraId="7DBF3C9A" w14:textId="77777777" w:rsidR="003314F1" w:rsidRPr="00656A23" w:rsidRDefault="003314F1" w:rsidP="00212F1A">
      <w:pPr>
        <w:tabs>
          <w:tab w:val="left" w:pos="360"/>
        </w:tabs>
        <w:ind w:left="360" w:hanging="360"/>
        <w:rPr>
          <w:rFonts w:cs="Arial"/>
          <w:szCs w:val="20"/>
        </w:rPr>
      </w:pPr>
      <w:r w:rsidRPr="00656A23">
        <w:rPr>
          <w:rFonts w:cs="Arial"/>
          <w:szCs w:val="20"/>
        </w:rPr>
        <w:t xml:space="preserve">Association of American Colleges and Universities. (2007). </w:t>
      </w:r>
      <w:r w:rsidRPr="00656A23">
        <w:rPr>
          <w:rFonts w:cs="Arial"/>
          <w:i/>
          <w:iCs/>
          <w:szCs w:val="20"/>
        </w:rPr>
        <w:t>College Learning for the New Global Century.</w:t>
      </w:r>
      <w:r w:rsidRPr="00656A23">
        <w:rPr>
          <w:rFonts w:cs="Arial"/>
          <w:szCs w:val="20"/>
        </w:rPr>
        <w:t xml:space="preserve"> Washington DC: Author.</w:t>
      </w:r>
    </w:p>
    <w:p w14:paraId="2C84C852" w14:textId="77777777" w:rsidR="003314F1" w:rsidRPr="00656A23" w:rsidRDefault="003314F1" w:rsidP="00212F1A">
      <w:pPr>
        <w:tabs>
          <w:tab w:val="left" w:pos="360"/>
        </w:tabs>
        <w:ind w:left="360" w:hanging="360"/>
        <w:rPr>
          <w:rFonts w:cs="Arial"/>
          <w:szCs w:val="20"/>
        </w:rPr>
      </w:pPr>
      <w:r w:rsidRPr="00656A23">
        <w:rPr>
          <w:rFonts w:cs="Arial"/>
          <w:szCs w:val="20"/>
        </w:rPr>
        <w:t xml:space="preserve">Association of American Colleges and Universities. (Winter, 2005). </w:t>
      </w:r>
      <w:r w:rsidRPr="00656A23">
        <w:rPr>
          <w:rFonts w:cs="Arial"/>
          <w:i/>
          <w:iCs/>
          <w:szCs w:val="20"/>
        </w:rPr>
        <w:t>Peer Review: Emerging trends and key debates in undergraduate education</w:t>
      </w:r>
      <w:r w:rsidRPr="00656A23">
        <w:rPr>
          <w:rFonts w:cs="Arial"/>
          <w:szCs w:val="20"/>
        </w:rPr>
        <w:t>. Washington DC: Author.</w:t>
      </w:r>
    </w:p>
    <w:p w14:paraId="7D05CCAC" w14:textId="77777777" w:rsidR="003314F1" w:rsidRPr="00656A23" w:rsidRDefault="003314F1" w:rsidP="00212F1A">
      <w:pPr>
        <w:tabs>
          <w:tab w:val="left" w:pos="360"/>
        </w:tabs>
        <w:ind w:left="360" w:hanging="360"/>
        <w:rPr>
          <w:rFonts w:cs="Arial"/>
          <w:szCs w:val="20"/>
        </w:rPr>
      </w:pPr>
      <w:r w:rsidRPr="00656A23">
        <w:rPr>
          <w:rFonts w:cs="Arial"/>
          <w:szCs w:val="20"/>
        </w:rPr>
        <w:t xml:space="preserve">Association of American Colleges and Universities. (2002). </w:t>
      </w:r>
      <w:r w:rsidRPr="00656A23">
        <w:rPr>
          <w:rFonts w:cs="Arial"/>
          <w:i/>
          <w:iCs/>
          <w:szCs w:val="20"/>
        </w:rPr>
        <w:t>Greater expectations: A new vision of learning as a nation goes to college.</w:t>
      </w:r>
      <w:r w:rsidRPr="00656A23">
        <w:rPr>
          <w:rFonts w:cs="Arial"/>
          <w:szCs w:val="20"/>
        </w:rPr>
        <w:t xml:space="preserve"> Washington DC: Author.</w:t>
      </w:r>
    </w:p>
    <w:p w14:paraId="6289EF59" w14:textId="77777777" w:rsidR="003314F1" w:rsidRPr="00656A23" w:rsidRDefault="003314F1" w:rsidP="00212F1A">
      <w:pPr>
        <w:tabs>
          <w:tab w:val="left" w:pos="360"/>
        </w:tabs>
        <w:ind w:left="360" w:hanging="360"/>
        <w:rPr>
          <w:rFonts w:cs="Arial"/>
          <w:szCs w:val="20"/>
        </w:rPr>
      </w:pPr>
      <w:r w:rsidRPr="00656A23">
        <w:rPr>
          <w:rFonts w:cs="Arial"/>
          <w:szCs w:val="20"/>
        </w:rPr>
        <w:t xml:space="preserve">Baxter Magolda, M. B., &amp; King, P. M. (2004). </w:t>
      </w:r>
      <w:r w:rsidRPr="00656A23">
        <w:rPr>
          <w:rFonts w:cs="Arial"/>
          <w:i/>
          <w:iCs/>
          <w:szCs w:val="20"/>
        </w:rPr>
        <w:t xml:space="preserve">Learning partnerships. </w:t>
      </w:r>
      <w:r w:rsidRPr="00656A23">
        <w:rPr>
          <w:rFonts w:cs="Arial"/>
          <w:szCs w:val="20"/>
        </w:rPr>
        <w:t xml:space="preserve"> Sterling, VA: Stylus.</w:t>
      </w:r>
    </w:p>
    <w:p w14:paraId="60B015C0" w14:textId="1CBB5051" w:rsidR="003314F1" w:rsidRPr="00656A23" w:rsidRDefault="003314F1" w:rsidP="00212F1A">
      <w:pPr>
        <w:tabs>
          <w:tab w:val="left" w:pos="360"/>
        </w:tabs>
        <w:ind w:left="360" w:hanging="360"/>
        <w:rPr>
          <w:rFonts w:cs="Arial"/>
          <w:szCs w:val="20"/>
        </w:rPr>
      </w:pPr>
      <w:r w:rsidRPr="00656A23">
        <w:rPr>
          <w:rFonts w:cs="Arial"/>
          <w:szCs w:val="20"/>
        </w:rPr>
        <w:t xml:space="preserve">Bekken, B., &amp; Marie, J. (2007). Making self-authorship a goal of core curricula: The earth sustainability project </w:t>
      </w:r>
      <w:r w:rsidRPr="00656A23">
        <w:rPr>
          <w:rFonts w:cs="Arial"/>
          <w:i/>
          <w:szCs w:val="20"/>
          <w:u w:val="single"/>
        </w:rPr>
        <w:t>in</w:t>
      </w:r>
      <w:r w:rsidRPr="00656A23">
        <w:rPr>
          <w:rFonts w:cs="Arial"/>
          <w:szCs w:val="20"/>
        </w:rPr>
        <w:t xml:space="preserve"> P. Meszaros (Ed.) </w:t>
      </w:r>
      <w:r w:rsidRPr="00656A23">
        <w:rPr>
          <w:rFonts w:cs="Arial"/>
          <w:i/>
          <w:iCs/>
          <w:szCs w:val="20"/>
        </w:rPr>
        <w:t xml:space="preserve">Self-authorship: Advancing students’ intellectual growth </w:t>
      </w:r>
      <w:r w:rsidRPr="00656A23">
        <w:rPr>
          <w:rFonts w:cs="Arial"/>
          <w:szCs w:val="20"/>
        </w:rPr>
        <w:t>(pp</w:t>
      </w:r>
      <w:r w:rsidR="00AB1923">
        <w:rPr>
          <w:rFonts w:cs="Arial"/>
          <w:szCs w:val="20"/>
        </w:rPr>
        <w:t>. 53-68). San Francisco: Jossey-</w:t>
      </w:r>
      <w:r w:rsidRPr="00656A23">
        <w:rPr>
          <w:rFonts w:cs="Arial"/>
          <w:szCs w:val="20"/>
        </w:rPr>
        <w:t>Bass</w:t>
      </w:r>
      <w:r w:rsidR="0047595D">
        <w:rPr>
          <w:rFonts w:cs="Arial"/>
          <w:szCs w:val="20"/>
        </w:rPr>
        <w:t>.</w:t>
      </w:r>
    </w:p>
    <w:p w14:paraId="5E3F6095" w14:textId="77777777" w:rsidR="003314F1" w:rsidRPr="00656A23" w:rsidRDefault="003314F1" w:rsidP="00212F1A">
      <w:pPr>
        <w:ind w:left="360" w:hanging="360"/>
        <w:rPr>
          <w:rFonts w:cs="Arial"/>
          <w:szCs w:val="20"/>
        </w:rPr>
      </w:pPr>
      <w:r w:rsidRPr="00656A23">
        <w:rPr>
          <w:rFonts w:cs="Arial"/>
          <w:szCs w:val="20"/>
        </w:rPr>
        <w:t xml:space="preserve">Boix Mansilla, V., Duraisingh, E.D., Wolfe, C.R., and Haynes, C. (2009).  Targeted assessment rubric: An empirically grounded rubric for interdisciplinary writing, </w:t>
      </w:r>
      <w:r w:rsidRPr="00656A23">
        <w:rPr>
          <w:rFonts w:cs="Arial"/>
          <w:i/>
          <w:szCs w:val="20"/>
        </w:rPr>
        <w:t>The Journal of Higher Education</w:t>
      </w:r>
      <w:r w:rsidRPr="00656A23">
        <w:rPr>
          <w:rFonts w:cs="Arial"/>
          <w:szCs w:val="20"/>
        </w:rPr>
        <w:t>, Vol. 80, No. 3., 334-358.</w:t>
      </w:r>
    </w:p>
    <w:p w14:paraId="40691B4E" w14:textId="684F502B" w:rsidR="003314F1" w:rsidRPr="00656A23" w:rsidRDefault="003314F1" w:rsidP="00212F1A">
      <w:pPr>
        <w:tabs>
          <w:tab w:val="left" w:pos="360"/>
        </w:tabs>
        <w:ind w:left="360" w:hanging="360"/>
        <w:rPr>
          <w:rFonts w:cs="Arial"/>
          <w:szCs w:val="20"/>
        </w:rPr>
      </w:pPr>
      <w:r w:rsidRPr="00656A23">
        <w:rPr>
          <w:rFonts w:cs="Arial"/>
          <w:szCs w:val="20"/>
        </w:rPr>
        <w:t>Olsen, D</w:t>
      </w:r>
      <w:r w:rsidR="0047595D">
        <w:rPr>
          <w:rFonts w:cs="Arial"/>
          <w:szCs w:val="20"/>
        </w:rPr>
        <w:t>.</w:t>
      </w:r>
      <w:r w:rsidRPr="00656A23">
        <w:rPr>
          <w:rFonts w:cs="Arial"/>
          <w:szCs w:val="20"/>
        </w:rPr>
        <w:t>, Bekken, B</w:t>
      </w:r>
      <w:r w:rsidR="0047595D">
        <w:rPr>
          <w:rFonts w:cs="Arial"/>
          <w:szCs w:val="20"/>
        </w:rPr>
        <w:t>.</w:t>
      </w:r>
      <w:r w:rsidRPr="00656A23">
        <w:rPr>
          <w:rFonts w:cs="Arial"/>
          <w:szCs w:val="20"/>
        </w:rPr>
        <w:t xml:space="preserve"> M., Drezek, K</w:t>
      </w:r>
      <w:r w:rsidR="0047595D">
        <w:rPr>
          <w:rFonts w:cs="Arial"/>
          <w:szCs w:val="20"/>
        </w:rPr>
        <w:t>.</w:t>
      </w:r>
      <w:r w:rsidRPr="00656A23">
        <w:rPr>
          <w:rFonts w:cs="Arial"/>
          <w:szCs w:val="20"/>
        </w:rPr>
        <w:t xml:space="preserve"> M., </w:t>
      </w:r>
      <w:bookmarkStart w:id="0" w:name="_GoBack"/>
      <w:bookmarkEnd w:id="0"/>
      <w:r w:rsidRPr="00656A23">
        <w:rPr>
          <w:rFonts w:cs="Arial"/>
          <w:szCs w:val="20"/>
        </w:rPr>
        <w:t>Walter,</w:t>
      </w:r>
      <w:r w:rsidR="0047595D">
        <w:rPr>
          <w:rFonts w:cs="Arial"/>
          <w:szCs w:val="20"/>
        </w:rPr>
        <w:t xml:space="preserve"> C.T.</w:t>
      </w:r>
      <w:r w:rsidRPr="00656A23">
        <w:rPr>
          <w:rFonts w:cs="Arial"/>
          <w:szCs w:val="20"/>
        </w:rPr>
        <w:t xml:space="preserve"> (2011). Teaching for change: Learning partnerships and epistemological growth, </w:t>
      </w:r>
      <w:r w:rsidRPr="00656A23">
        <w:rPr>
          <w:rFonts w:cs="Arial"/>
          <w:i/>
          <w:szCs w:val="20"/>
        </w:rPr>
        <w:t>The Journal of General Education</w:t>
      </w:r>
      <w:r w:rsidRPr="00656A23">
        <w:rPr>
          <w:rFonts w:cs="Arial"/>
          <w:szCs w:val="20"/>
        </w:rPr>
        <w:t>, Vol. 60, No. 3, 139-171.</w:t>
      </w:r>
    </w:p>
    <w:p w14:paraId="1B495DC0" w14:textId="77777777" w:rsidR="003314F1" w:rsidRPr="00656A23" w:rsidRDefault="003314F1" w:rsidP="00212F1A">
      <w:pPr>
        <w:tabs>
          <w:tab w:val="left" w:pos="360"/>
        </w:tabs>
        <w:ind w:left="360" w:hanging="360"/>
        <w:rPr>
          <w:rFonts w:cs="Arial"/>
          <w:szCs w:val="20"/>
        </w:rPr>
      </w:pPr>
      <w:r w:rsidRPr="00656A23">
        <w:rPr>
          <w:rFonts w:cs="Arial"/>
          <w:szCs w:val="20"/>
        </w:rPr>
        <w:t xml:space="preserve">The National Center for Public Policy and Higher Education. (2004). </w:t>
      </w:r>
      <w:r w:rsidRPr="00656A23">
        <w:rPr>
          <w:rFonts w:cs="Arial"/>
          <w:i/>
          <w:iCs/>
          <w:szCs w:val="20"/>
        </w:rPr>
        <w:t>Measuring up: The national report card on higher education</w:t>
      </w:r>
      <w:r w:rsidRPr="00656A23">
        <w:rPr>
          <w:rFonts w:cs="Arial"/>
          <w:szCs w:val="20"/>
        </w:rPr>
        <w:t>. San Jose CA: Author.</w:t>
      </w:r>
    </w:p>
    <w:p w14:paraId="689E3D21" w14:textId="77777777" w:rsidR="003314F1" w:rsidRDefault="003314F1" w:rsidP="00212F1A"/>
    <w:p w14:paraId="199C058A" w14:textId="77777777" w:rsidR="003314F1" w:rsidRDefault="003314F1" w:rsidP="00212F1A"/>
    <w:p w14:paraId="118D3DDA" w14:textId="77777777" w:rsidR="003314F1" w:rsidRDefault="003314F1" w:rsidP="00212F1A"/>
    <w:p w14:paraId="728A88F1" w14:textId="77777777" w:rsidR="003314F1" w:rsidRPr="003314F1" w:rsidRDefault="003314F1" w:rsidP="00212F1A"/>
    <w:p w14:paraId="47B480F5" w14:textId="77777777" w:rsidR="009D4AF1" w:rsidRDefault="009D4AF1" w:rsidP="00212F1A"/>
    <w:sectPr w:rsidR="009D4AF1" w:rsidSect="005A2A3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6C76"/>
    <w:multiLevelType w:val="hybridMultilevel"/>
    <w:tmpl w:val="95789E7C"/>
    <w:lvl w:ilvl="0" w:tplc="9E580798">
      <w:start w:val="1"/>
      <w:numFmt w:val="bullet"/>
      <w:lvlText w:val="•"/>
      <w:lvlJc w:val="left"/>
      <w:pPr>
        <w:tabs>
          <w:tab w:val="num" w:pos="360"/>
        </w:tabs>
        <w:ind w:left="360" w:hanging="360"/>
      </w:pPr>
      <w:rPr>
        <w:rFonts w:ascii="Arial" w:hAnsi="Arial" w:hint="default"/>
      </w:rPr>
    </w:lvl>
    <w:lvl w:ilvl="1" w:tplc="94C4B73E" w:tentative="1">
      <w:start w:val="1"/>
      <w:numFmt w:val="bullet"/>
      <w:lvlText w:val="•"/>
      <w:lvlJc w:val="left"/>
      <w:pPr>
        <w:tabs>
          <w:tab w:val="num" w:pos="1080"/>
        </w:tabs>
        <w:ind w:left="1080" w:hanging="360"/>
      </w:pPr>
      <w:rPr>
        <w:rFonts w:ascii="Arial" w:hAnsi="Arial" w:hint="default"/>
      </w:rPr>
    </w:lvl>
    <w:lvl w:ilvl="2" w:tplc="3DEAA9F2" w:tentative="1">
      <w:start w:val="1"/>
      <w:numFmt w:val="bullet"/>
      <w:lvlText w:val="•"/>
      <w:lvlJc w:val="left"/>
      <w:pPr>
        <w:tabs>
          <w:tab w:val="num" w:pos="1800"/>
        </w:tabs>
        <w:ind w:left="1800" w:hanging="360"/>
      </w:pPr>
      <w:rPr>
        <w:rFonts w:ascii="Arial" w:hAnsi="Arial" w:hint="default"/>
      </w:rPr>
    </w:lvl>
    <w:lvl w:ilvl="3" w:tplc="217E2DBC" w:tentative="1">
      <w:start w:val="1"/>
      <w:numFmt w:val="bullet"/>
      <w:lvlText w:val="•"/>
      <w:lvlJc w:val="left"/>
      <w:pPr>
        <w:tabs>
          <w:tab w:val="num" w:pos="2520"/>
        </w:tabs>
        <w:ind w:left="2520" w:hanging="360"/>
      </w:pPr>
      <w:rPr>
        <w:rFonts w:ascii="Arial" w:hAnsi="Arial" w:hint="default"/>
      </w:rPr>
    </w:lvl>
    <w:lvl w:ilvl="4" w:tplc="0316B67A" w:tentative="1">
      <w:start w:val="1"/>
      <w:numFmt w:val="bullet"/>
      <w:lvlText w:val="•"/>
      <w:lvlJc w:val="left"/>
      <w:pPr>
        <w:tabs>
          <w:tab w:val="num" w:pos="3240"/>
        </w:tabs>
        <w:ind w:left="3240" w:hanging="360"/>
      </w:pPr>
      <w:rPr>
        <w:rFonts w:ascii="Arial" w:hAnsi="Arial" w:hint="default"/>
      </w:rPr>
    </w:lvl>
    <w:lvl w:ilvl="5" w:tplc="03841AD6" w:tentative="1">
      <w:start w:val="1"/>
      <w:numFmt w:val="bullet"/>
      <w:lvlText w:val="•"/>
      <w:lvlJc w:val="left"/>
      <w:pPr>
        <w:tabs>
          <w:tab w:val="num" w:pos="3960"/>
        </w:tabs>
        <w:ind w:left="3960" w:hanging="360"/>
      </w:pPr>
      <w:rPr>
        <w:rFonts w:ascii="Arial" w:hAnsi="Arial" w:hint="default"/>
      </w:rPr>
    </w:lvl>
    <w:lvl w:ilvl="6" w:tplc="C6C28048" w:tentative="1">
      <w:start w:val="1"/>
      <w:numFmt w:val="bullet"/>
      <w:lvlText w:val="•"/>
      <w:lvlJc w:val="left"/>
      <w:pPr>
        <w:tabs>
          <w:tab w:val="num" w:pos="4680"/>
        </w:tabs>
        <w:ind w:left="4680" w:hanging="360"/>
      </w:pPr>
      <w:rPr>
        <w:rFonts w:ascii="Arial" w:hAnsi="Arial" w:hint="default"/>
      </w:rPr>
    </w:lvl>
    <w:lvl w:ilvl="7" w:tplc="CB029964" w:tentative="1">
      <w:start w:val="1"/>
      <w:numFmt w:val="bullet"/>
      <w:lvlText w:val="•"/>
      <w:lvlJc w:val="left"/>
      <w:pPr>
        <w:tabs>
          <w:tab w:val="num" w:pos="5400"/>
        </w:tabs>
        <w:ind w:left="5400" w:hanging="360"/>
      </w:pPr>
      <w:rPr>
        <w:rFonts w:ascii="Arial" w:hAnsi="Arial" w:hint="default"/>
      </w:rPr>
    </w:lvl>
    <w:lvl w:ilvl="8" w:tplc="2318B37C" w:tentative="1">
      <w:start w:val="1"/>
      <w:numFmt w:val="bullet"/>
      <w:lvlText w:val="•"/>
      <w:lvlJc w:val="left"/>
      <w:pPr>
        <w:tabs>
          <w:tab w:val="num" w:pos="6120"/>
        </w:tabs>
        <w:ind w:left="6120" w:hanging="360"/>
      </w:pPr>
      <w:rPr>
        <w:rFonts w:ascii="Arial" w:hAnsi="Arial" w:hint="default"/>
      </w:rPr>
    </w:lvl>
  </w:abstractNum>
  <w:abstractNum w:abstractNumId="1">
    <w:nsid w:val="1EC23AED"/>
    <w:multiLevelType w:val="hybridMultilevel"/>
    <w:tmpl w:val="CD54B430"/>
    <w:lvl w:ilvl="0" w:tplc="0448A9EE">
      <w:start w:val="1"/>
      <w:numFmt w:val="decimal"/>
      <w:lvlText w:val="%1)"/>
      <w:lvlJc w:val="left"/>
      <w:pPr>
        <w:tabs>
          <w:tab w:val="num" w:pos="360"/>
        </w:tabs>
        <w:ind w:left="360" w:hanging="360"/>
      </w:pPr>
    </w:lvl>
    <w:lvl w:ilvl="1" w:tplc="92625CC8" w:tentative="1">
      <w:start w:val="1"/>
      <w:numFmt w:val="decimal"/>
      <w:lvlText w:val="%2)"/>
      <w:lvlJc w:val="left"/>
      <w:pPr>
        <w:tabs>
          <w:tab w:val="num" w:pos="1080"/>
        </w:tabs>
        <w:ind w:left="1080" w:hanging="360"/>
      </w:pPr>
    </w:lvl>
    <w:lvl w:ilvl="2" w:tplc="D72088C2" w:tentative="1">
      <w:start w:val="1"/>
      <w:numFmt w:val="decimal"/>
      <w:lvlText w:val="%3)"/>
      <w:lvlJc w:val="left"/>
      <w:pPr>
        <w:tabs>
          <w:tab w:val="num" w:pos="1800"/>
        </w:tabs>
        <w:ind w:left="1800" w:hanging="360"/>
      </w:pPr>
    </w:lvl>
    <w:lvl w:ilvl="3" w:tplc="DA240F88" w:tentative="1">
      <w:start w:val="1"/>
      <w:numFmt w:val="decimal"/>
      <w:lvlText w:val="%4)"/>
      <w:lvlJc w:val="left"/>
      <w:pPr>
        <w:tabs>
          <w:tab w:val="num" w:pos="2520"/>
        </w:tabs>
        <w:ind w:left="2520" w:hanging="360"/>
      </w:pPr>
    </w:lvl>
    <w:lvl w:ilvl="4" w:tplc="36A023EE" w:tentative="1">
      <w:start w:val="1"/>
      <w:numFmt w:val="decimal"/>
      <w:lvlText w:val="%5)"/>
      <w:lvlJc w:val="left"/>
      <w:pPr>
        <w:tabs>
          <w:tab w:val="num" w:pos="3240"/>
        </w:tabs>
        <w:ind w:left="3240" w:hanging="360"/>
      </w:pPr>
    </w:lvl>
    <w:lvl w:ilvl="5" w:tplc="BD18FC24" w:tentative="1">
      <w:start w:val="1"/>
      <w:numFmt w:val="decimal"/>
      <w:lvlText w:val="%6)"/>
      <w:lvlJc w:val="left"/>
      <w:pPr>
        <w:tabs>
          <w:tab w:val="num" w:pos="3960"/>
        </w:tabs>
        <w:ind w:left="3960" w:hanging="360"/>
      </w:pPr>
    </w:lvl>
    <w:lvl w:ilvl="6" w:tplc="8398F262" w:tentative="1">
      <w:start w:val="1"/>
      <w:numFmt w:val="decimal"/>
      <w:lvlText w:val="%7)"/>
      <w:lvlJc w:val="left"/>
      <w:pPr>
        <w:tabs>
          <w:tab w:val="num" w:pos="4680"/>
        </w:tabs>
        <w:ind w:left="4680" w:hanging="360"/>
      </w:pPr>
    </w:lvl>
    <w:lvl w:ilvl="7" w:tplc="52005C04" w:tentative="1">
      <w:start w:val="1"/>
      <w:numFmt w:val="decimal"/>
      <w:lvlText w:val="%8)"/>
      <w:lvlJc w:val="left"/>
      <w:pPr>
        <w:tabs>
          <w:tab w:val="num" w:pos="5400"/>
        </w:tabs>
        <w:ind w:left="5400" w:hanging="360"/>
      </w:pPr>
    </w:lvl>
    <w:lvl w:ilvl="8" w:tplc="63821222" w:tentative="1">
      <w:start w:val="1"/>
      <w:numFmt w:val="decimal"/>
      <w:lvlText w:val="%9)"/>
      <w:lvlJc w:val="left"/>
      <w:pPr>
        <w:tabs>
          <w:tab w:val="num" w:pos="6120"/>
        </w:tabs>
        <w:ind w:left="6120" w:hanging="360"/>
      </w:pPr>
    </w:lvl>
  </w:abstractNum>
  <w:abstractNum w:abstractNumId="2">
    <w:nsid w:val="28F57CCF"/>
    <w:multiLevelType w:val="multilevel"/>
    <w:tmpl w:val="B8D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A268DA"/>
    <w:multiLevelType w:val="hybridMultilevel"/>
    <w:tmpl w:val="92A415D8"/>
    <w:lvl w:ilvl="0" w:tplc="83FE0ECE">
      <w:start w:val="1"/>
      <w:numFmt w:val="bullet"/>
      <w:lvlText w:val="•"/>
      <w:lvlJc w:val="left"/>
      <w:pPr>
        <w:tabs>
          <w:tab w:val="num" w:pos="720"/>
        </w:tabs>
        <w:ind w:left="720" w:hanging="360"/>
      </w:pPr>
      <w:rPr>
        <w:rFonts w:ascii="Arial" w:hAnsi="Arial" w:hint="default"/>
      </w:rPr>
    </w:lvl>
    <w:lvl w:ilvl="1" w:tplc="6AFCB8FE" w:tentative="1">
      <w:start w:val="1"/>
      <w:numFmt w:val="bullet"/>
      <w:lvlText w:val="•"/>
      <w:lvlJc w:val="left"/>
      <w:pPr>
        <w:tabs>
          <w:tab w:val="num" w:pos="1440"/>
        </w:tabs>
        <w:ind w:left="1440" w:hanging="360"/>
      </w:pPr>
      <w:rPr>
        <w:rFonts w:ascii="Arial" w:hAnsi="Arial" w:hint="default"/>
      </w:rPr>
    </w:lvl>
    <w:lvl w:ilvl="2" w:tplc="76760568" w:tentative="1">
      <w:start w:val="1"/>
      <w:numFmt w:val="bullet"/>
      <w:lvlText w:val="•"/>
      <w:lvlJc w:val="left"/>
      <w:pPr>
        <w:tabs>
          <w:tab w:val="num" w:pos="2160"/>
        </w:tabs>
        <w:ind w:left="2160" w:hanging="360"/>
      </w:pPr>
      <w:rPr>
        <w:rFonts w:ascii="Arial" w:hAnsi="Arial" w:hint="default"/>
      </w:rPr>
    </w:lvl>
    <w:lvl w:ilvl="3" w:tplc="E19E231A" w:tentative="1">
      <w:start w:val="1"/>
      <w:numFmt w:val="bullet"/>
      <w:lvlText w:val="•"/>
      <w:lvlJc w:val="left"/>
      <w:pPr>
        <w:tabs>
          <w:tab w:val="num" w:pos="2880"/>
        </w:tabs>
        <w:ind w:left="2880" w:hanging="360"/>
      </w:pPr>
      <w:rPr>
        <w:rFonts w:ascii="Arial" w:hAnsi="Arial" w:hint="default"/>
      </w:rPr>
    </w:lvl>
    <w:lvl w:ilvl="4" w:tplc="F85EE1EA" w:tentative="1">
      <w:start w:val="1"/>
      <w:numFmt w:val="bullet"/>
      <w:lvlText w:val="•"/>
      <w:lvlJc w:val="left"/>
      <w:pPr>
        <w:tabs>
          <w:tab w:val="num" w:pos="3600"/>
        </w:tabs>
        <w:ind w:left="3600" w:hanging="360"/>
      </w:pPr>
      <w:rPr>
        <w:rFonts w:ascii="Arial" w:hAnsi="Arial" w:hint="default"/>
      </w:rPr>
    </w:lvl>
    <w:lvl w:ilvl="5" w:tplc="89CA949A" w:tentative="1">
      <w:start w:val="1"/>
      <w:numFmt w:val="bullet"/>
      <w:lvlText w:val="•"/>
      <w:lvlJc w:val="left"/>
      <w:pPr>
        <w:tabs>
          <w:tab w:val="num" w:pos="4320"/>
        </w:tabs>
        <w:ind w:left="4320" w:hanging="360"/>
      </w:pPr>
      <w:rPr>
        <w:rFonts w:ascii="Arial" w:hAnsi="Arial" w:hint="default"/>
      </w:rPr>
    </w:lvl>
    <w:lvl w:ilvl="6" w:tplc="6B400A4C" w:tentative="1">
      <w:start w:val="1"/>
      <w:numFmt w:val="bullet"/>
      <w:lvlText w:val="•"/>
      <w:lvlJc w:val="left"/>
      <w:pPr>
        <w:tabs>
          <w:tab w:val="num" w:pos="5040"/>
        </w:tabs>
        <w:ind w:left="5040" w:hanging="360"/>
      </w:pPr>
      <w:rPr>
        <w:rFonts w:ascii="Arial" w:hAnsi="Arial" w:hint="default"/>
      </w:rPr>
    </w:lvl>
    <w:lvl w:ilvl="7" w:tplc="6218AE4C" w:tentative="1">
      <w:start w:val="1"/>
      <w:numFmt w:val="bullet"/>
      <w:lvlText w:val="•"/>
      <w:lvlJc w:val="left"/>
      <w:pPr>
        <w:tabs>
          <w:tab w:val="num" w:pos="5760"/>
        </w:tabs>
        <w:ind w:left="5760" w:hanging="360"/>
      </w:pPr>
      <w:rPr>
        <w:rFonts w:ascii="Arial" w:hAnsi="Arial" w:hint="default"/>
      </w:rPr>
    </w:lvl>
    <w:lvl w:ilvl="8" w:tplc="24DC625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F1"/>
    <w:rsid w:val="00212F1A"/>
    <w:rsid w:val="00310AC3"/>
    <w:rsid w:val="003314F1"/>
    <w:rsid w:val="00341E6C"/>
    <w:rsid w:val="0047595D"/>
    <w:rsid w:val="0059579E"/>
    <w:rsid w:val="005A2A33"/>
    <w:rsid w:val="005B3495"/>
    <w:rsid w:val="005F129E"/>
    <w:rsid w:val="00625378"/>
    <w:rsid w:val="006547DA"/>
    <w:rsid w:val="007E4F50"/>
    <w:rsid w:val="00802C34"/>
    <w:rsid w:val="00833E34"/>
    <w:rsid w:val="008D5B5A"/>
    <w:rsid w:val="009D4AF1"/>
    <w:rsid w:val="00A3201A"/>
    <w:rsid w:val="00A46295"/>
    <w:rsid w:val="00A91C4C"/>
    <w:rsid w:val="00AB1923"/>
    <w:rsid w:val="00B3342A"/>
    <w:rsid w:val="00B36BC9"/>
    <w:rsid w:val="00B52258"/>
    <w:rsid w:val="00B62151"/>
    <w:rsid w:val="00C42E93"/>
    <w:rsid w:val="00C747A5"/>
    <w:rsid w:val="00CA26B5"/>
    <w:rsid w:val="00D83A83"/>
    <w:rsid w:val="00DE48E8"/>
    <w:rsid w:val="00E144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7B8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Cs w:val="24"/>
    </w:rPr>
  </w:style>
  <w:style w:type="paragraph" w:styleId="Heading1">
    <w:name w:val="heading 1"/>
    <w:basedOn w:val="Normal"/>
    <w:next w:val="Normal"/>
    <w:qFormat/>
    <w:rsid w:val="00E37895"/>
    <w:pPr>
      <w:keepNext/>
      <w:spacing w:before="240" w:after="60"/>
      <w:outlineLvl w:val="0"/>
    </w:pPr>
    <w:rPr>
      <w:b/>
      <w:kern w:val="32"/>
      <w:sz w:val="32"/>
      <w:szCs w:val="32"/>
    </w:rPr>
  </w:style>
  <w:style w:type="paragraph" w:styleId="Heading2">
    <w:name w:val="heading 2"/>
    <w:basedOn w:val="Normal"/>
    <w:next w:val="Normal"/>
    <w:qFormat/>
    <w:rsid w:val="00E37895"/>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4C40"/>
    <w:rPr>
      <w:rFonts w:ascii="Lucida Grande" w:hAnsi="Lucida Grande"/>
      <w:sz w:val="18"/>
      <w:szCs w:val="18"/>
    </w:rPr>
  </w:style>
  <w:style w:type="paragraph" w:customStyle="1" w:styleId="Style1">
    <w:name w:val="Style1"/>
    <w:basedOn w:val="Heading2"/>
    <w:rsid w:val="00E37895"/>
    <w:rPr>
      <w:rFonts w:eastAsia="Times"/>
      <w:color w:val="auto"/>
      <w:sz w:val="20"/>
      <w:szCs w:val="20"/>
    </w:rPr>
  </w:style>
  <w:style w:type="paragraph" w:customStyle="1" w:styleId="Style2">
    <w:name w:val="Style2"/>
    <w:basedOn w:val="Heading1"/>
    <w:rsid w:val="00E37895"/>
    <w:rPr>
      <w:rFonts w:eastAsia="Times"/>
      <w:color w:val="auto"/>
      <w:kern w:val="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Cs w:val="24"/>
    </w:rPr>
  </w:style>
  <w:style w:type="paragraph" w:styleId="Heading1">
    <w:name w:val="heading 1"/>
    <w:basedOn w:val="Normal"/>
    <w:next w:val="Normal"/>
    <w:qFormat/>
    <w:rsid w:val="00E37895"/>
    <w:pPr>
      <w:keepNext/>
      <w:spacing w:before="240" w:after="60"/>
      <w:outlineLvl w:val="0"/>
    </w:pPr>
    <w:rPr>
      <w:b/>
      <w:kern w:val="32"/>
      <w:sz w:val="32"/>
      <w:szCs w:val="32"/>
    </w:rPr>
  </w:style>
  <w:style w:type="paragraph" w:styleId="Heading2">
    <w:name w:val="heading 2"/>
    <w:basedOn w:val="Normal"/>
    <w:next w:val="Normal"/>
    <w:qFormat/>
    <w:rsid w:val="00E37895"/>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4C40"/>
    <w:rPr>
      <w:rFonts w:ascii="Lucida Grande" w:hAnsi="Lucida Grande"/>
      <w:sz w:val="18"/>
      <w:szCs w:val="18"/>
    </w:rPr>
  </w:style>
  <w:style w:type="paragraph" w:customStyle="1" w:styleId="Style1">
    <w:name w:val="Style1"/>
    <w:basedOn w:val="Heading2"/>
    <w:rsid w:val="00E37895"/>
    <w:rPr>
      <w:rFonts w:eastAsia="Times"/>
      <w:color w:val="auto"/>
      <w:sz w:val="20"/>
      <w:szCs w:val="20"/>
    </w:rPr>
  </w:style>
  <w:style w:type="paragraph" w:customStyle="1" w:styleId="Style2">
    <w:name w:val="Style2"/>
    <w:basedOn w:val="Heading1"/>
    <w:rsid w:val="00E37895"/>
    <w:rPr>
      <w:rFonts w:eastAsia="Times"/>
      <w:color w:val="auto"/>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15210">
      <w:bodyDiv w:val="1"/>
      <w:marLeft w:val="0"/>
      <w:marRight w:val="0"/>
      <w:marTop w:val="0"/>
      <w:marBottom w:val="0"/>
      <w:divBdr>
        <w:top w:val="none" w:sz="0" w:space="0" w:color="auto"/>
        <w:left w:val="none" w:sz="0" w:space="0" w:color="auto"/>
        <w:bottom w:val="none" w:sz="0" w:space="0" w:color="auto"/>
        <w:right w:val="none" w:sz="0" w:space="0" w:color="auto"/>
      </w:divBdr>
    </w:div>
    <w:div w:id="1300838874">
      <w:bodyDiv w:val="1"/>
      <w:marLeft w:val="0"/>
      <w:marRight w:val="0"/>
      <w:marTop w:val="0"/>
      <w:marBottom w:val="0"/>
      <w:divBdr>
        <w:top w:val="none" w:sz="0" w:space="0" w:color="auto"/>
        <w:left w:val="none" w:sz="0" w:space="0" w:color="auto"/>
        <w:bottom w:val="none" w:sz="0" w:space="0" w:color="auto"/>
        <w:right w:val="none" w:sz="0" w:space="0" w:color="auto"/>
      </w:divBdr>
    </w:div>
    <w:div w:id="1949966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3</Pages>
  <Words>1556</Words>
  <Characters>8874</Characters>
  <Application>Microsoft Macintosh Word</Application>
  <DocSecurity>0</DocSecurity>
  <Lines>73</Lines>
  <Paragraphs>20</Paragraphs>
  <ScaleCrop>false</ScaleCrop>
  <Company>Virginia Tech</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Bekken</dc:creator>
  <cp:keywords/>
  <dc:description/>
  <cp:lastModifiedBy>Barbara Bekken</cp:lastModifiedBy>
  <cp:revision>16</cp:revision>
  <dcterms:created xsi:type="dcterms:W3CDTF">2012-04-20T01:23:00Z</dcterms:created>
  <dcterms:modified xsi:type="dcterms:W3CDTF">2012-04-21T02:02:00Z</dcterms:modified>
</cp:coreProperties>
</file>