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7AA" w:rsidRDefault="00DE77AA">
      <w:pPr>
        <w:jc w:val="center"/>
        <w:rPr>
          <w:b/>
          <w:sz w:val="28"/>
          <w:szCs w:val="28"/>
        </w:rPr>
      </w:pPr>
      <w:r>
        <w:rPr>
          <w:b/>
          <w:sz w:val="28"/>
          <w:szCs w:val="28"/>
        </w:rPr>
        <w:t>Sediments and the Global Carbon Cycle</w:t>
      </w:r>
    </w:p>
    <w:p w:rsidR="00DE77AA" w:rsidRDefault="00DE77AA">
      <w:pPr>
        <w:jc w:val="center"/>
        <w:rPr>
          <w:b/>
        </w:rPr>
      </w:pPr>
      <w:r>
        <w:rPr>
          <w:b/>
        </w:rPr>
        <w:t>(Exercises conceived by Dr. Elana Leithold, North Carolina State University)</w:t>
      </w:r>
    </w:p>
    <w:p w:rsidR="00DE77AA" w:rsidRDefault="00DE77AA">
      <w:pPr>
        <w:jc w:val="center"/>
        <w:rPr>
          <w:b/>
        </w:rPr>
      </w:pPr>
    </w:p>
    <w:p w:rsidR="00DE77AA" w:rsidRDefault="00DE77AA">
      <w:pPr>
        <w:rPr>
          <w:b/>
        </w:rPr>
      </w:pPr>
      <w:r>
        <w:rPr>
          <w:b/>
        </w:rPr>
        <w:t>Introduction:</w:t>
      </w:r>
    </w:p>
    <w:p w:rsidR="00DE77AA" w:rsidRDefault="00DE77AA"/>
    <w:p w:rsidR="00DE77AA" w:rsidRDefault="00DE77AA">
      <w:r>
        <w:t xml:space="preserve">When we talk about a cycle, we are referring to something that starts somewhere and comes back to the same place.  The </w:t>
      </w:r>
      <w:r>
        <w:rPr>
          <w:u w:val="single"/>
        </w:rPr>
        <w:t>global carbon cycle</w:t>
      </w:r>
      <w:r>
        <w:t xml:space="preserve"> refers to the movement of the element carbon through different storage places, or reservoirs, on Earth.  These reservoirs include the biosphere (living things), the atmosphere, soils, the oceans, sediments, and sedimentary rocks.  Carbon moves (cycles) through these various reservoirs at different rates.  Most carbon near the Earth’s surface, cycles fairly quickly.  The turnover time of carbon in the atmosphere, for example, is about 3-5 years while the average turnover time of carbon in plants is about 50 years.  Soil organic matter has a range of turnover times, but averages about 3000-5000 years.</w:t>
      </w:r>
    </w:p>
    <w:p w:rsidR="00DE77AA" w:rsidRDefault="00DE77AA"/>
    <w:p w:rsidR="00DE77AA" w:rsidRDefault="00DE77AA">
      <w:r>
        <w:t>We can think to the “short-term” carbon cycle as having a slow leak.  A small amount of carbon escapes to be stored in marine sediment and sedimentary rocks in either an inorganic form as carbonates (e.g. limestones) and as disseminated organic matter (kerogen), primarily in mudrocks.  This carbon has a turnover time of millions of years.  Over a geologic time the “slow leak” has had enormous consequences for our humans and our planet and.  It is responsible for the existence of fossil fuels on which our society depends and for regulating atmospheric chemistry (i.e., CO</w:t>
      </w:r>
      <w:r>
        <w:rPr>
          <w:vertAlign w:val="subscript"/>
        </w:rPr>
        <w:t>2</w:t>
      </w:r>
      <w:r>
        <w:t xml:space="preserve"> and O</w:t>
      </w:r>
      <w:r>
        <w:rPr>
          <w:vertAlign w:val="subscript"/>
        </w:rPr>
        <w:t>2</w:t>
      </w:r>
      <w:r>
        <w:t xml:space="preserve"> concentrations) and climate. </w:t>
      </w:r>
    </w:p>
    <w:p w:rsidR="00DE77AA" w:rsidRDefault="00DE77AA"/>
    <w:p w:rsidR="00DE77AA" w:rsidRDefault="00DE77AA">
      <w:r>
        <w:t>This set of exercises focuses on exploring the role of marine sediments in organic carbon burial and on using the composition of organic carbon preserved in sediments and sedimentary rocks to reconstruct ancient environments.</w:t>
      </w:r>
    </w:p>
    <w:p w:rsidR="00DE77AA" w:rsidRDefault="00DE77AA"/>
    <w:p w:rsidR="00DE77AA" w:rsidRDefault="00DE77AA">
      <w:r>
        <w:t>The objectives of these exercises are to:</w:t>
      </w:r>
    </w:p>
    <w:p w:rsidR="00DE77AA" w:rsidRDefault="00DE77AA">
      <w:pPr>
        <w:numPr>
          <w:ilvl w:val="0"/>
          <w:numId w:val="3"/>
        </w:numPr>
      </w:pPr>
      <w:r>
        <w:t>Compare the amount of organic carbon delivered to the seabed and the amount that is buried in sediments.</w:t>
      </w:r>
    </w:p>
    <w:p w:rsidR="00DE77AA" w:rsidRDefault="00DE77AA">
      <w:pPr>
        <w:numPr>
          <w:ilvl w:val="0"/>
          <w:numId w:val="3"/>
        </w:numPr>
      </w:pPr>
      <w:r>
        <w:t>Explore the importance of the relationship between organic carbon and mineral surfaces.</w:t>
      </w:r>
    </w:p>
    <w:p w:rsidR="00DE77AA" w:rsidRDefault="00DE77AA">
      <w:pPr>
        <w:numPr>
          <w:ilvl w:val="0"/>
          <w:numId w:val="3"/>
        </w:numPr>
      </w:pPr>
      <w:r>
        <w:t>Discuss how stable carbon isotopes can indicate the sources of organic matter, and be used as a tool to interpret paleoenvironments.</w:t>
      </w:r>
    </w:p>
    <w:p w:rsidR="00DE77AA" w:rsidRDefault="00DE77AA"/>
    <w:p w:rsidR="00DE77AA" w:rsidRDefault="00DE77AA">
      <w:pPr>
        <w:pageBreakBefore/>
        <w:rPr>
          <w:b/>
        </w:rPr>
      </w:pPr>
      <w:r>
        <w:rPr>
          <w:b/>
        </w:rPr>
        <w:lastRenderedPageBreak/>
        <w:t>Part I.  Burial of organic carbon in marine sediments</w:t>
      </w:r>
    </w:p>
    <w:p w:rsidR="00DE77AA" w:rsidRDefault="00DE77AA">
      <w:pPr>
        <w:rPr>
          <w:b/>
        </w:rPr>
      </w:pPr>
    </w:p>
    <w:p w:rsidR="00DE77AA" w:rsidRDefault="00DE77AA">
      <w:r>
        <w:t xml:space="preserve">The organic carbon buried in marine sediment is produced by photosynthetic organisms both on land and in the lighted, surface layer of the ocean.   Much of the material produced, however, does not make it to the seabed.  </w:t>
      </w:r>
    </w:p>
    <w:p w:rsidR="00DE77AA" w:rsidRDefault="00DE77AA"/>
    <w:p w:rsidR="00DE77AA" w:rsidRDefault="00DE77AA">
      <w:pPr>
        <w:numPr>
          <w:ilvl w:val="0"/>
          <w:numId w:val="2"/>
        </w:numPr>
      </w:pPr>
      <w:r>
        <w:t>Based on the information in Table 1 below, what percentage of the organic carbon produced on land makes its way to the oceans (primarily via rivers)?</w:t>
      </w:r>
    </w:p>
    <w:p w:rsidR="00DE77AA" w:rsidRDefault="00DE77AA">
      <w:pPr>
        <w:ind w:left="720"/>
        <w:rPr>
          <w:b/>
        </w:rPr>
      </w:pPr>
      <w:r>
        <w:rPr>
          <w:b/>
        </w:rPr>
        <w:t>0.67%</w:t>
      </w:r>
    </w:p>
    <w:p w:rsidR="00DE77AA" w:rsidRDefault="00DE77AA">
      <w:pPr>
        <w:ind w:left="360"/>
      </w:pPr>
    </w:p>
    <w:p w:rsidR="00DE77AA" w:rsidRDefault="00DE77AA">
      <w:pPr>
        <w:numPr>
          <w:ilvl w:val="0"/>
          <w:numId w:val="2"/>
        </w:numPr>
      </w:pPr>
      <w:r>
        <w:t>Based on the information in Tables 1 and 2, what percentage of global productivity (both terrestrial and marine) is preserved in marine sediments?</w:t>
      </w:r>
    </w:p>
    <w:p w:rsidR="00DE77AA" w:rsidRDefault="00DE77AA">
      <w:pPr>
        <w:ind w:left="720"/>
        <w:rPr>
          <w:b/>
        </w:rPr>
      </w:pPr>
      <w:r>
        <w:rPr>
          <w:b/>
        </w:rPr>
        <w:t>0.15%</w:t>
      </w:r>
    </w:p>
    <w:p w:rsidR="00DE77AA" w:rsidRDefault="00DE77AA"/>
    <w:p w:rsidR="00DE77AA" w:rsidRDefault="00DE77AA">
      <w:pPr>
        <w:numPr>
          <w:ilvl w:val="0"/>
          <w:numId w:val="2"/>
        </w:numPr>
      </w:pPr>
      <w:r>
        <w:t xml:space="preserve">What do you think happens to the terrestrial (land) and marine (ocean) carbon that does not get buried in marine sediments?  (Hint: Think about what happens to leaves that accumulate on the forest floor every </w:t>
      </w:r>
      <w:proofErr w:type="gramStart"/>
      <w:r>
        <w:t>Autumn</w:t>
      </w:r>
      <w:proofErr w:type="gramEnd"/>
      <w:r>
        <w:t>!).</w:t>
      </w:r>
    </w:p>
    <w:p w:rsidR="00DE77AA" w:rsidRDefault="00DE77AA">
      <w:pPr>
        <w:ind w:left="720"/>
        <w:rPr>
          <w:b/>
        </w:rPr>
      </w:pPr>
      <w:r>
        <w:rPr>
          <w:b/>
        </w:rPr>
        <w:t>Degraded, primarily by bacterial and fungal activity</w:t>
      </w:r>
    </w:p>
    <w:p w:rsidR="00DE77AA" w:rsidRDefault="00DE77AA"/>
    <w:p w:rsidR="00DE77AA" w:rsidRDefault="00DE77AA">
      <w:pPr>
        <w:numPr>
          <w:ilvl w:val="0"/>
          <w:numId w:val="2"/>
        </w:numPr>
      </w:pPr>
      <w:r>
        <w:t>Based on the information in Table 2 below, in which marine environments does most organic carbon get buried and preserved?  Name at least two factors that you think might account for enhanced carbon burial in these settings.</w:t>
      </w:r>
    </w:p>
    <w:p w:rsidR="00DE77AA" w:rsidRDefault="00DE77AA">
      <w:pPr>
        <w:ind w:left="720"/>
        <w:rPr>
          <w:b/>
        </w:rPr>
      </w:pPr>
      <w:r>
        <w:rPr>
          <w:b/>
        </w:rPr>
        <w:t>Deltas/shelves/upper slopes</w:t>
      </w:r>
    </w:p>
    <w:p w:rsidR="00DE77AA" w:rsidRDefault="00DE77AA">
      <w:pPr>
        <w:ind w:left="720"/>
        <w:rPr>
          <w:b/>
        </w:rPr>
      </w:pPr>
      <w:r>
        <w:rPr>
          <w:b/>
        </w:rPr>
        <w:t>Near to terrestrial sources of OM and nutrients, rapid burial in sediments</w:t>
      </w:r>
    </w:p>
    <w:p w:rsidR="00DE77AA" w:rsidRDefault="00DE77AA">
      <w:pPr>
        <w:ind w:left="360"/>
      </w:pPr>
    </w:p>
    <w:p w:rsidR="00DE77AA" w:rsidRDefault="00DE77AA">
      <w:pPr>
        <w:rPr>
          <w:b/>
          <w:i/>
        </w:rPr>
      </w:pPr>
      <w:proofErr w:type="gramStart"/>
      <w:r>
        <w:rPr>
          <w:b/>
          <w:i/>
        </w:rPr>
        <w:t>Table 1.</w:t>
      </w:r>
      <w:proofErr w:type="gramEnd"/>
      <w:r>
        <w:rPr>
          <w:b/>
          <w:i/>
        </w:rPr>
        <w:t xml:space="preserve">  Annual production and fate of terrestrial and marine carbon (based on Hedges and Keil, 1995)</w:t>
      </w:r>
    </w:p>
    <w:tbl>
      <w:tblPr>
        <w:tblW w:w="0" w:type="auto"/>
        <w:tblInd w:w="-5" w:type="dxa"/>
        <w:tblLayout w:type="fixed"/>
        <w:tblLook w:val="0000"/>
      </w:tblPr>
      <w:tblGrid>
        <w:gridCol w:w="1661"/>
        <w:gridCol w:w="2520"/>
        <w:gridCol w:w="5050"/>
      </w:tblGrid>
      <w:tr w:rsidR="00DE77AA">
        <w:trPr>
          <w:trHeight w:val="276"/>
        </w:trPr>
        <w:tc>
          <w:tcPr>
            <w:tcW w:w="1661" w:type="dxa"/>
            <w:vMerge w:val="restart"/>
            <w:tcBorders>
              <w:top w:val="single" w:sz="4" w:space="0" w:color="000000"/>
              <w:left w:val="single" w:sz="4" w:space="0" w:color="000000"/>
              <w:bottom w:val="single" w:sz="4" w:space="0" w:color="000000"/>
            </w:tcBorders>
          </w:tcPr>
          <w:p w:rsidR="00DE77AA" w:rsidRDefault="00DE77AA">
            <w:pPr>
              <w:snapToGrid w:val="0"/>
            </w:pPr>
          </w:p>
        </w:tc>
        <w:tc>
          <w:tcPr>
            <w:tcW w:w="2520" w:type="dxa"/>
            <w:vMerge w:val="restart"/>
            <w:tcBorders>
              <w:top w:val="single" w:sz="4" w:space="0" w:color="000000"/>
              <w:left w:val="single" w:sz="4" w:space="0" w:color="000000"/>
              <w:bottom w:val="single" w:sz="4" w:space="0" w:color="000000"/>
            </w:tcBorders>
          </w:tcPr>
          <w:p w:rsidR="00DE77AA" w:rsidRDefault="00DE77AA">
            <w:pPr>
              <w:snapToGrid w:val="0"/>
              <w:jc w:val="center"/>
              <w:rPr>
                <w:b/>
              </w:rPr>
            </w:pPr>
            <w:r>
              <w:rPr>
                <w:b/>
              </w:rPr>
              <w:t>Amount produced</w:t>
            </w:r>
          </w:p>
        </w:tc>
        <w:tc>
          <w:tcPr>
            <w:tcW w:w="505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jc w:val="center"/>
              <w:rPr>
                <w:b/>
              </w:rPr>
            </w:pPr>
            <w:r>
              <w:rPr>
                <w:b/>
              </w:rPr>
              <w:t>Amount delivered to oceans</w:t>
            </w:r>
          </w:p>
        </w:tc>
      </w:tr>
      <w:tr w:rsidR="00DE77AA">
        <w:trPr>
          <w:trHeight w:val="276"/>
        </w:trPr>
        <w:tc>
          <w:tcPr>
            <w:tcW w:w="1661" w:type="dxa"/>
            <w:vMerge w:val="restart"/>
            <w:tcBorders>
              <w:top w:val="single" w:sz="4" w:space="0" w:color="000000"/>
              <w:left w:val="single" w:sz="4" w:space="0" w:color="000000"/>
              <w:bottom w:val="single" w:sz="4" w:space="0" w:color="000000"/>
            </w:tcBorders>
          </w:tcPr>
          <w:p w:rsidR="00DE77AA" w:rsidRDefault="00DE77AA">
            <w:pPr>
              <w:snapToGrid w:val="0"/>
            </w:pPr>
            <w:r>
              <w:t>Terrestrial productivity</w:t>
            </w:r>
          </w:p>
        </w:tc>
        <w:tc>
          <w:tcPr>
            <w:tcW w:w="2520" w:type="dxa"/>
            <w:vMerge w:val="restart"/>
            <w:tcBorders>
              <w:top w:val="single" w:sz="4" w:space="0" w:color="000000"/>
              <w:left w:val="single" w:sz="4" w:space="0" w:color="000000"/>
              <w:bottom w:val="single" w:sz="4" w:space="0" w:color="000000"/>
            </w:tcBorders>
          </w:tcPr>
          <w:p w:rsidR="00DE77AA" w:rsidRDefault="00DE77AA">
            <w:pPr>
              <w:snapToGrid w:val="0"/>
              <w:rPr>
                <w:vertAlign w:val="superscript"/>
              </w:rPr>
            </w:pPr>
            <w:r>
              <w:t>60 x 10</w:t>
            </w:r>
            <w:r>
              <w:rPr>
                <w:vertAlign w:val="superscript"/>
              </w:rPr>
              <w:t>15</w:t>
            </w:r>
            <w:r>
              <w:t xml:space="preserve"> g C yr</w:t>
            </w:r>
            <w:r>
              <w:rPr>
                <w:vertAlign w:val="superscript"/>
              </w:rPr>
              <w:t>-1</w:t>
            </w:r>
          </w:p>
        </w:tc>
        <w:tc>
          <w:tcPr>
            <w:tcW w:w="505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0.2 x 10</w:t>
            </w:r>
            <w:r>
              <w:rPr>
                <w:vertAlign w:val="superscript"/>
              </w:rPr>
              <w:t xml:space="preserve">15 </w:t>
            </w:r>
            <w:r>
              <w:t>g C yr</w:t>
            </w:r>
            <w:r>
              <w:rPr>
                <w:vertAlign w:val="superscript"/>
              </w:rPr>
              <w:t>-1</w:t>
            </w:r>
            <w:r>
              <w:t xml:space="preserve"> as particulate organic matter</w:t>
            </w:r>
          </w:p>
          <w:p w:rsidR="00DE77AA" w:rsidRDefault="00DE77AA">
            <w:r>
              <w:t>0.2 x 10</w:t>
            </w:r>
            <w:r>
              <w:rPr>
                <w:vertAlign w:val="superscript"/>
              </w:rPr>
              <w:t>15</w:t>
            </w:r>
            <w:r>
              <w:t xml:space="preserve"> g C yr</w:t>
            </w:r>
            <w:r>
              <w:rPr>
                <w:vertAlign w:val="superscript"/>
              </w:rPr>
              <w:t>-1</w:t>
            </w:r>
            <w:r>
              <w:t xml:space="preserve"> as dissolved organic matter</w:t>
            </w:r>
          </w:p>
        </w:tc>
      </w:tr>
      <w:tr w:rsidR="00DE77AA">
        <w:trPr>
          <w:trHeight w:val="276"/>
        </w:trPr>
        <w:tc>
          <w:tcPr>
            <w:tcW w:w="1661" w:type="dxa"/>
            <w:vMerge w:val="restart"/>
            <w:tcBorders>
              <w:top w:val="single" w:sz="4" w:space="0" w:color="000000"/>
              <w:left w:val="single" w:sz="4" w:space="0" w:color="000000"/>
              <w:bottom w:val="single" w:sz="4" w:space="0" w:color="000000"/>
            </w:tcBorders>
          </w:tcPr>
          <w:p w:rsidR="00DE77AA" w:rsidRDefault="00DE77AA">
            <w:pPr>
              <w:snapToGrid w:val="0"/>
            </w:pPr>
            <w:r>
              <w:t>Marine productivity</w:t>
            </w:r>
          </w:p>
        </w:tc>
        <w:tc>
          <w:tcPr>
            <w:tcW w:w="2520" w:type="dxa"/>
            <w:vMerge w:val="restart"/>
            <w:tcBorders>
              <w:top w:val="single" w:sz="4" w:space="0" w:color="000000"/>
              <w:left w:val="single" w:sz="4" w:space="0" w:color="000000"/>
              <w:bottom w:val="single" w:sz="4" w:space="0" w:color="000000"/>
            </w:tcBorders>
          </w:tcPr>
          <w:p w:rsidR="00DE77AA" w:rsidRDefault="00DE77AA">
            <w:pPr>
              <w:snapToGrid w:val="0"/>
              <w:rPr>
                <w:vertAlign w:val="superscript"/>
              </w:rPr>
            </w:pPr>
            <w:r>
              <w:t>50 x 10</w:t>
            </w:r>
            <w:r>
              <w:rPr>
                <w:vertAlign w:val="superscript"/>
              </w:rPr>
              <w:t>15</w:t>
            </w:r>
            <w:r>
              <w:t xml:space="preserve"> g C yr</w:t>
            </w:r>
            <w:r>
              <w:rPr>
                <w:vertAlign w:val="superscript"/>
              </w:rPr>
              <w:t>-1</w:t>
            </w:r>
          </w:p>
        </w:tc>
        <w:tc>
          <w:tcPr>
            <w:tcW w:w="505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About 10% remaining at depths of several hundred meters</w:t>
            </w:r>
          </w:p>
          <w:p w:rsidR="00DE77AA" w:rsidRDefault="00DE77AA">
            <w:r>
              <w:t>About 1% passes to an average ocean depth of 4000 m</w:t>
            </w:r>
          </w:p>
        </w:tc>
      </w:tr>
    </w:tbl>
    <w:p w:rsidR="00DE77AA" w:rsidRDefault="00DE77AA"/>
    <w:p w:rsidR="00DE77AA" w:rsidRDefault="00DE77AA">
      <w:pPr>
        <w:rPr>
          <w:b/>
          <w:i/>
        </w:rPr>
      </w:pPr>
      <w:proofErr w:type="gramStart"/>
      <w:r>
        <w:rPr>
          <w:b/>
          <w:i/>
        </w:rPr>
        <w:t>Table 2.</w:t>
      </w:r>
      <w:proofErr w:type="gramEnd"/>
      <w:r>
        <w:rPr>
          <w:b/>
          <w:i/>
        </w:rPr>
        <w:t xml:space="preserve">  Organic carbon burial in different ocean environments (after Hedges and Keil, 1995)</w:t>
      </w:r>
    </w:p>
    <w:tbl>
      <w:tblPr>
        <w:tblW w:w="0" w:type="auto"/>
        <w:tblInd w:w="-5" w:type="dxa"/>
        <w:tblLayout w:type="fixed"/>
        <w:tblLook w:val="0000"/>
      </w:tblPr>
      <w:tblGrid>
        <w:gridCol w:w="4421"/>
        <w:gridCol w:w="4810"/>
      </w:tblGrid>
      <w:tr w:rsidR="00DE77AA">
        <w:trPr>
          <w:trHeight w:val="276"/>
        </w:trPr>
        <w:tc>
          <w:tcPr>
            <w:tcW w:w="4421" w:type="dxa"/>
            <w:vMerge w:val="restart"/>
            <w:tcBorders>
              <w:top w:val="single" w:sz="4" w:space="0" w:color="000000"/>
              <w:left w:val="single" w:sz="4" w:space="0" w:color="000000"/>
              <w:bottom w:val="single" w:sz="4" w:space="0" w:color="000000"/>
            </w:tcBorders>
          </w:tcPr>
          <w:p w:rsidR="00DE77AA" w:rsidRDefault="00DE77AA">
            <w:pPr>
              <w:snapToGrid w:val="0"/>
              <w:rPr>
                <w:b/>
              </w:rPr>
            </w:pPr>
            <w:r>
              <w:rPr>
                <w:b/>
              </w:rPr>
              <w:t>Environment</w:t>
            </w:r>
          </w:p>
        </w:tc>
        <w:tc>
          <w:tcPr>
            <w:tcW w:w="48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rPr>
                <w:b/>
              </w:rPr>
            </w:pPr>
            <w:r>
              <w:rPr>
                <w:b/>
              </w:rPr>
              <w:t>OC burial rate in units of 10</w:t>
            </w:r>
            <w:r>
              <w:rPr>
                <w:b/>
                <w:vertAlign w:val="superscript"/>
              </w:rPr>
              <w:t>12</w:t>
            </w:r>
            <w:r>
              <w:rPr>
                <w:b/>
              </w:rPr>
              <w:t xml:space="preserve"> g C yr</w:t>
            </w:r>
            <w:r>
              <w:rPr>
                <w:b/>
                <w:vertAlign w:val="superscript"/>
              </w:rPr>
              <w:t>-1</w:t>
            </w:r>
            <w:r>
              <w:rPr>
                <w:b/>
              </w:rPr>
              <w:t xml:space="preserve"> </w:t>
            </w:r>
          </w:p>
        </w:tc>
      </w:tr>
      <w:tr w:rsidR="00DE77AA">
        <w:trPr>
          <w:trHeight w:val="276"/>
        </w:trPr>
        <w:tc>
          <w:tcPr>
            <w:tcW w:w="4421" w:type="dxa"/>
            <w:vMerge w:val="restart"/>
            <w:tcBorders>
              <w:top w:val="single" w:sz="4" w:space="0" w:color="000000"/>
              <w:left w:val="single" w:sz="4" w:space="0" w:color="000000"/>
              <w:bottom w:val="single" w:sz="4" w:space="0" w:color="000000"/>
            </w:tcBorders>
          </w:tcPr>
          <w:p w:rsidR="00DE77AA" w:rsidRDefault="00DE77AA">
            <w:pPr>
              <w:snapToGrid w:val="0"/>
            </w:pPr>
            <w:r>
              <w:t>Deltas</w:t>
            </w:r>
          </w:p>
        </w:tc>
        <w:tc>
          <w:tcPr>
            <w:tcW w:w="48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70</w:t>
            </w:r>
          </w:p>
        </w:tc>
      </w:tr>
      <w:tr w:rsidR="00DE77AA">
        <w:trPr>
          <w:trHeight w:val="276"/>
        </w:trPr>
        <w:tc>
          <w:tcPr>
            <w:tcW w:w="4421" w:type="dxa"/>
            <w:vMerge w:val="restart"/>
            <w:tcBorders>
              <w:top w:val="single" w:sz="4" w:space="0" w:color="000000"/>
              <w:left w:val="single" w:sz="4" w:space="0" w:color="000000"/>
              <w:bottom w:val="single" w:sz="4" w:space="0" w:color="000000"/>
            </w:tcBorders>
          </w:tcPr>
          <w:p w:rsidR="00DE77AA" w:rsidRDefault="00DE77AA">
            <w:pPr>
              <w:snapToGrid w:val="0"/>
            </w:pPr>
            <w:r>
              <w:t>Shelves and upper continental slopes</w:t>
            </w:r>
          </w:p>
        </w:tc>
        <w:tc>
          <w:tcPr>
            <w:tcW w:w="48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75  (including 6 in shallow water carbonate environments, 1 in anoxic basins such as the Black Sea)</w:t>
            </w:r>
          </w:p>
        </w:tc>
      </w:tr>
      <w:tr w:rsidR="00DE77AA">
        <w:trPr>
          <w:trHeight w:val="276"/>
        </w:trPr>
        <w:tc>
          <w:tcPr>
            <w:tcW w:w="4421" w:type="dxa"/>
            <w:vMerge w:val="restart"/>
            <w:tcBorders>
              <w:top w:val="single" w:sz="4" w:space="0" w:color="000000"/>
              <w:left w:val="single" w:sz="4" w:space="0" w:color="000000"/>
              <w:bottom w:val="single" w:sz="4" w:space="0" w:color="000000"/>
            </w:tcBorders>
          </w:tcPr>
          <w:p w:rsidR="00DE77AA" w:rsidRDefault="00DE77AA">
            <w:pPr>
              <w:snapToGrid w:val="0"/>
            </w:pPr>
            <w:r>
              <w:t>Slopes</w:t>
            </w:r>
          </w:p>
        </w:tc>
        <w:tc>
          <w:tcPr>
            <w:tcW w:w="48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7</w:t>
            </w:r>
          </w:p>
        </w:tc>
      </w:tr>
      <w:tr w:rsidR="00DE77AA">
        <w:trPr>
          <w:trHeight w:val="276"/>
        </w:trPr>
        <w:tc>
          <w:tcPr>
            <w:tcW w:w="4421" w:type="dxa"/>
            <w:vMerge w:val="restart"/>
            <w:tcBorders>
              <w:top w:val="single" w:sz="4" w:space="0" w:color="000000"/>
              <w:left w:val="single" w:sz="4" w:space="0" w:color="000000"/>
              <w:bottom w:val="single" w:sz="4" w:space="0" w:color="000000"/>
            </w:tcBorders>
          </w:tcPr>
          <w:p w:rsidR="00DE77AA" w:rsidRDefault="00DE77AA">
            <w:pPr>
              <w:snapToGrid w:val="0"/>
            </w:pPr>
            <w:r>
              <w:t>Deep sea (pelagic) sediments</w:t>
            </w:r>
          </w:p>
        </w:tc>
        <w:tc>
          <w:tcPr>
            <w:tcW w:w="48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8</w:t>
            </w:r>
          </w:p>
        </w:tc>
      </w:tr>
    </w:tbl>
    <w:p w:rsidR="00DE77AA" w:rsidRDefault="00DE77AA"/>
    <w:p w:rsidR="00DE77AA" w:rsidRDefault="00DE77AA">
      <w:r>
        <w:t xml:space="preserve">  </w:t>
      </w:r>
    </w:p>
    <w:p w:rsidR="00DE77AA" w:rsidRDefault="00DE77AA"/>
    <w:p w:rsidR="00DE77AA" w:rsidRDefault="00DE77AA">
      <w:r>
        <w:t xml:space="preserve">Table 3 lists the main reservoirs of carbon in the Earth’s crust and surface environments.  </w:t>
      </w:r>
    </w:p>
    <w:p w:rsidR="00DE77AA" w:rsidRDefault="00DE77AA"/>
    <w:p w:rsidR="00DE77AA" w:rsidRDefault="00DE77AA">
      <w:pPr>
        <w:numPr>
          <w:ilvl w:val="0"/>
          <w:numId w:val="2"/>
        </w:numPr>
      </w:pPr>
      <w:r>
        <w:t>Based on Table 3, what proportion of carbon is contained in sedimentary rocks?</w:t>
      </w:r>
    </w:p>
    <w:p w:rsidR="00DE77AA" w:rsidRDefault="00DE77AA"/>
    <w:p w:rsidR="00DE77AA" w:rsidRDefault="00DE77AA">
      <w:pPr>
        <w:ind w:left="720"/>
        <w:rPr>
          <w:b/>
        </w:rPr>
      </w:pPr>
      <w:r>
        <w:rPr>
          <w:b/>
        </w:rPr>
        <w:t>99.9%</w:t>
      </w:r>
    </w:p>
    <w:p w:rsidR="00DE77AA" w:rsidRDefault="00DE77AA"/>
    <w:p w:rsidR="00DE77AA" w:rsidRDefault="00DE77AA"/>
    <w:p w:rsidR="00DE77AA" w:rsidRDefault="00DE77AA">
      <w:pPr>
        <w:ind w:left="360"/>
      </w:pPr>
      <w:r>
        <w:t>6) Increasing levels of CO</w:t>
      </w:r>
      <w:r>
        <w:rPr>
          <w:vertAlign w:val="subscript"/>
        </w:rPr>
        <w:t xml:space="preserve">2 </w:t>
      </w:r>
      <w:r>
        <w:t>in our atmosphere and consequent global warming are one of the most important issues facing our society.  What are at least three ways that humans are causing the movement of carbon into the atmospheric “reservoir” from other storage places on Earth?</w:t>
      </w:r>
    </w:p>
    <w:p w:rsidR="00DE77AA" w:rsidRDefault="00DE77AA"/>
    <w:p w:rsidR="00DE77AA" w:rsidRDefault="00DE77AA"/>
    <w:p w:rsidR="00DE77AA" w:rsidRDefault="00DE77AA">
      <w:pPr>
        <w:rPr>
          <w:b/>
        </w:rPr>
      </w:pPr>
      <w:r>
        <w:tab/>
      </w:r>
      <w:r>
        <w:rPr>
          <w:b/>
        </w:rPr>
        <w:t>Soil erosion, deforestation, fossil fuel burning</w:t>
      </w:r>
    </w:p>
    <w:p w:rsidR="00DE77AA" w:rsidRDefault="00DE77AA"/>
    <w:p w:rsidR="00DE77AA" w:rsidRDefault="00DE77AA"/>
    <w:p w:rsidR="00DE77AA" w:rsidRDefault="00DE77AA"/>
    <w:p w:rsidR="00DE77AA" w:rsidRDefault="00DE77AA"/>
    <w:p w:rsidR="00DE77AA" w:rsidRDefault="00DE77AA">
      <w:pPr>
        <w:rPr>
          <w:b/>
          <w:i/>
        </w:rPr>
      </w:pPr>
      <w:proofErr w:type="gramStart"/>
      <w:r>
        <w:rPr>
          <w:b/>
          <w:i/>
        </w:rPr>
        <w:t>Table 3.</w:t>
      </w:r>
      <w:proofErr w:type="gramEnd"/>
      <w:r>
        <w:rPr>
          <w:b/>
          <w:i/>
        </w:rPr>
        <w:t xml:space="preserve"> </w:t>
      </w:r>
      <w:proofErr w:type="gramStart"/>
      <w:r>
        <w:rPr>
          <w:b/>
          <w:i/>
        </w:rPr>
        <w:t>Major reservoirs of inorganic and organic carbon (after Hedges and Keil, 1995).</w:t>
      </w:r>
      <w:proofErr w:type="gramEnd"/>
      <w:r>
        <w:rPr>
          <w:b/>
          <w:i/>
        </w:rPr>
        <w:t xml:space="preserve"> </w:t>
      </w:r>
    </w:p>
    <w:tbl>
      <w:tblPr>
        <w:tblW w:w="0" w:type="auto"/>
        <w:tblInd w:w="-5" w:type="dxa"/>
        <w:tblLayout w:type="fixed"/>
        <w:tblLook w:val="0000"/>
      </w:tblPr>
      <w:tblGrid>
        <w:gridCol w:w="2021"/>
        <w:gridCol w:w="4440"/>
        <w:gridCol w:w="2410"/>
      </w:tblGrid>
      <w:tr w:rsidR="00DE77AA">
        <w:trPr>
          <w:trHeight w:val="276"/>
        </w:trPr>
        <w:tc>
          <w:tcPr>
            <w:tcW w:w="6461" w:type="dxa"/>
            <w:gridSpan w:val="2"/>
            <w:vMerge w:val="restart"/>
            <w:tcBorders>
              <w:top w:val="single" w:sz="4" w:space="0" w:color="000000"/>
              <w:left w:val="single" w:sz="4" w:space="0" w:color="000000"/>
              <w:bottom w:val="single" w:sz="4" w:space="0" w:color="000000"/>
            </w:tcBorders>
          </w:tcPr>
          <w:p w:rsidR="00DE77AA" w:rsidRDefault="00DE77AA">
            <w:pPr>
              <w:snapToGrid w:val="0"/>
              <w:jc w:val="center"/>
            </w:pPr>
            <w:r>
              <w:t>Reservoir Type</w:t>
            </w:r>
          </w:p>
        </w:tc>
        <w:tc>
          <w:tcPr>
            <w:tcW w:w="24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Amount, in 10</w:t>
            </w:r>
            <w:r>
              <w:rPr>
                <w:vertAlign w:val="superscript"/>
              </w:rPr>
              <w:t>18</w:t>
            </w:r>
            <w:r>
              <w:t xml:space="preserve"> g C</w:t>
            </w:r>
          </w:p>
        </w:tc>
      </w:tr>
      <w:tr w:rsidR="00DE77AA">
        <w:trPr>
          <w:trHeight w:val="276"/>
        </w:trPr>
        <w:tc>
          <w:tcPr>
            <w:tcW w:w="2021" w:type="dxa"/>
            <w:vMerge w:val="restart"/>
            <w:tcBorders>
              <w:top w:val="single" w:sz="4" w:space="0" w:color="000000"/>
              <w:left w:val="single" w:sz="4" w:space="0" w:color="000000"/>
              <w:bottom w:val="single" w:sz="4" w:space="0" w:color="000000"/>
            </w:tcBorders>
          </w:tcPr>
          <w:p w:rsidR="00DE77AA" w:rsidRDefault="00DE77AA">
            <w:pPr>
              <w:snapToGrid w:val="0"/>
            </w:pPr>
            <w:r>
              <w:t>Active (near-surface) pools</w:t>
            </w:r>
          </w:p>
        </w:tc>
        <w:tc>
          <w:tcPr>
            <w:tcW w:w="4440" w:type="dxa"/>
            <w:vMerge w:val="restart"/>
            <w:tcBorders>
              <w:top w:val="single" w:sz="4" w:space="0" w:color="000000"/>
              <w:left w:val="single" w:sz="4" w:space="0" w:color="000000"/>
              <w:bottom w:val="single" w:sz="4" w:space="0" w:color="000000"/>
            </w:tcBorders>
          </w:tcPr>
          <w:p w:rsidR="00DE77AA" w:rsidRDefault="00DE77AA">
            <w:pPr>
              <w:snapToGrid w:val="0"/>
              <w:rPr>
                <w:i/>
              </w:rPr>
            </w:pPr>
            <w:r>
              <w:rPr>
                <w:i/>
              </w:rPr>
              <w:t>Inorganic</w:t>
            </w:r>
          </w:p>
          <w:p w:rsidR="00DE77AA" w:rsidRDefault="00DE77AA">
            <w:pPr>
              <w:numPr>
                <w:ilvl w:val="0"/>
                <w:numId w:val="1"/>
              </w:numPr>
            </w:pPr>
            <w:r>
              <w:t>Marine dissolved inorganic carbon (DIC)</w:t>
            </w:r>
          </w:p>
          <w:p w:rsidR="00DE77AA" w:rsidRDefault="00DE77AA">
            <w:pPr>
              <w:numPr>
                <w:ilvl w:val="0"/>
                <w:numId w:val="1"/>
              </w:numPr>
            </w:pPr>
            <w:r>
              <w:t>Soil carbonate</w:t>
            </w:r>
          </w:p>
          <w:p w:rsidR="00DE77AA" w:rsidRDefault="00DE77AA">
            <w:pPr>
              <w:numPr>
                <w:ilvl w:val="0"/>
                <w:numId w:val="1"/>
              </w:numPr>
              <w:rPr>
                <w:vertAlign w:val="subscript"/>
              </w:rPr>
            </w:pPr>
            <w:r>
              <w:t>Atmospheric CO</w:t>
            </w:r>
            <w:r>
              <w:rPr>
                <w:vertAlign w:val="subscript"/>
              </w:rPr>
              <w:t>2</w:t>
            </w:r>
          </w:p>
          <w:p w:rsidR="00DE77AA" w:rsidRDefault="00DE77AA"/>
          <w:p w:rsidR="00DE77AA" w:rsidRDefault="00DE77AA">
            <w:pPr>
              <w:rPr>
                <w:i/>
              </w:rPr>
            </w:pPr>
            <w:r>
              <w:rPr>
                <w:i/>
              </w:rPr>
              <w:t>Organic</w:t>
            </w:r>
          </w:p>
          <w:p w:rsidR="00DE77AA" w:rsidRDefault="00DE77AA">
            <w:pPr>
              <w:numPr>
                <w:ilvl w:val="0"/>
                <w:numId w:val="5"/>
              </w:numPr>
            </w:pPr>
            <w:r>
              <w:t>Soil humus</w:t>
            </w:r>
          </w:p>
          <w:p w:rsidR="00DE77AA" w:rsidRDefault="00DE77AA">
            <w:pPr>
              <w:numPr>
                <w:ilvl w:val="0"/>
                <w:numId w:val="5"/>
              </w:numPr>
            </w:pPr>
            <w:r>
              <w:t>Land plant tissue</w:t>
            </w:r>
          </w:p>
          <w:p w:rsidR="00DE77AA" w:rsidRDefault="00DE77AA">
            <w:pPr>
              <w:numPr>
                <w:ilvl w:val="0"/>
                <w:numId w:val="5"/>
              </w:numPr>
            </w:pPr>
            <w:r>
              <w:t>Sea water dissolved organic carbon (DOC)</w:t>
            </w:r>
          </w:p>
          <w:p w:rsidR="00DE77AA" w:rsidRDefault="00DE77AA">
            <w:pPr>
              <w:numPr>
                <w:ilvl w:val="0"/>
                <w:numId w:val="5"/>
              </w:numPr>
            </w:pPr>
            <w:r>
              <w:t>Surface marine sediments</w:t>
            </w:r>
          </w:p>
          <w:p w:rsidR="00DE77AA" w:rsidRDefault="00DE77AA">
            <w:pPr>
              <w:ind w:left="720"/>
            </w:pPr>
          </w:p>
        </w:tc>
        <w:tc>
          <w:tcPr>
            <w:tcW w:w="24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p>
          <w:p w:rsidR="00DE77AA" w:rsidRDefault="00DE77AA">
            <w:r>
              <w:t xml:space="preserve">         39</w:t>
            </w:r>
          </w:p>
          <w:p w:rsidR="00DE77AA" w:rsidRDefault="00DE77AA"/>
          <w:p w:rsidR="00DE77AA" w:rsidRDefault="00DE77AA">
            <w:r>
              <w:t xml:space="preserve">           1.1</w:t>
            </w:r>
          </w:p>
          <w:p w:rsidR="00DE77AA" w:rsidRDefault="00DE77AA">
            <w:r>
              <w:t xml:space="preserve">           0.66</w:t>
            </w:r>
          </w:p>
          <w:p w:rsidR="00DE77AA" w:rsidRDefault="00DE77AA"/>
          <w:p w:rsidR="00DE77AA" w:rsidRDefault="00DE77AA"/>
          <w:p w:rsidR="00DE77AA" w:rsidRDefault="00DE77AA">
            <w:r>
              <w:t xml:space="preserve">           1.6</w:t>
            </w:r>
          </w:p>
          <w:p w:rsidR="00DE77AA" w:rsidRDefault="00DE77AA">
            <w:r>
              <w:t xml:space="preserve">           0.95</w:t>
            </w:r>
          </w:p>
          <w:p w:rsidR="00DE77AA" w:rsidRDefault="00DE77AA">
            <w:r>
              <w:t xml:space="preserve">           0.60</w:t>
            </w:r>
          </w:p>
          <w:p w:rsidR="00DE77AA" w:rsidRDefault="00DE77AA"/>
          <w:p w:rsidR="00DE77AA" w:rsidRDefault="00DE77AA">
            <w:r>
              <w:t xml:space="preserve">           0.15</w:t>
            </w:r>
          </w:p>
        </w:tc>
      </w:tr>
      <w:tr w:rsidR="00DE77AA">
        <w:trPr>
          <w:trHeight w:val="276"/>
        </w:trPr>
        <w:tc>
          <w:tcPr>
            <w:tcW w:w="2021" w:type="dxa"/>
            <w:vMerge w:val="restart"/>
            <w:tcBorders>
              <w:top w:val="single" w:sz="4" w:space="0" w:color="000000"/>
              <w:left w:val="single" w:sz="4" w:space="0" w:color="000000"/>
              <w:bottom w:val="single" w:sz="4" w:space="0" w:color="000000"/>
            </w:tcBorders>
          </w:tcPr>
          <w:p w:rsidR="00DE77AA" w:rsidRDefault="00DE77AA">
            <w:pPr>
              <w:snapToGrid w:val="0"/>
            </w:pPr>
            <w:r>
              <w:t>Sedimentary rocks</w:t>
            </w:r>
          </w:p>
        </w:tc>
        <w:tc>
          <w:tcPr>
            <w:tcW w:w="4440" w:type="dxa"/>
            <w:vMerge w:val="restart"/>
            <w:tcBorders>
              <w:top w:val="single" w:sz="4" w:space="0" w:color="000000"/>
              <w:left w:val="single" w:sz="4" w:space="0" w:color="000000"/>
              <w:bottom w:val="single" w:sz="4" w:space="0" w:color="000000"/>
            </w:tcBorders>
          </w:tcPr>
          <w:p w:rsidR="00DE77AA" w:rsidRDefault="00DE77AA">
            <w:pPr>
              <w:snapToGrid w:val="0"/>
              <w:rPr>
                <w:i/>
              </w:rPr>
            </w:pPr>
            <w:r>
              <w:rPr>
                <w:i/>
              </w:rPr>
              <w:t>Inorganic</w:t>
            </w:r>
          </w:p>
          <w:p w:rsidR="00DE77AA" w:rsidRDefault="00DE77AA">
            <w:pPr>
              <w:numPr>
                <w:ilvl w:val="0"/>
                <w:numId w:val="6"/>
              </w:numPr>
            </w:pPr>
            <w:r>
              <w:t>Carbonates</w:t>
            </w:r>
          </w:p>
          <w:p w:rsidR="00DE77AA" w:rsidRDefault="00DE77AA"/>
          <w:p w:rsidR="00DE77AA" w:rsidRDefault="00DE77AA">
            <w:pPr>
              <w:rPr>
                <w:i/>
              </w:rPr>
            </w:pPr>
            <w:r>
              <w:rPr>
                <w:i/>
              </w:rPr>
              <w:t>Organic</w:t>
            </w:r>
          </w:p>
          <w:p w:rsidR="00DE77AA" w:rsidRDefault="00DE77AA">
            <w:pPr>
              <w:numPr>
                <w:ilvl w:val="0"/>
                <w:numId w:val="6"/>
              </w:numPr>
            </w:pPr>
            <w:r>
              <w:t>Mudrocks (in the form of kerogen), coal, etc.</w:t>
            </w:r>
          </w:p>
          <w:p w:rsidR="00DE77AA" w:rsidRDefault="00DE77AA">
            <w:pPr>
              <w:ind w:left="720"/>
            </w:pPr>
          </w:p>
        </w:tc>
        <w:tc>
          <w:tcPr>
            <w:tcW w:w="2410"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p>
          <w:p w:rsidR="00DE77AA" w:rsidRDefault="00DE77AA">
            <w:r>
              <w:t xml:space="preserve">  60,000</w:t>
            </w:r>
          </w:p>
          <w:p w:rsidR="00DE77AA" w:rsidRDefault="00DE77AA"/>
          <w:p w:rsidR="00DE77AA" w:rsidRDefault="00DE77AA"/>
          <w:p w:rsidR="00DE77AA" w:rsidRDefault="00DE77AA">
            <w:r>
              <w:t xml:space="preserve">  15,000</w:t>
            </w:r>
          </w:p>
        </w:tc>
      </w:tr>
    </w:tbl>
    <w:p w:rsidR="00DE77AA" w:rsidRDefault="00DE77AA"/>
    <w:p w:rsidR="00DE77AA" w:rsidRDefault="00DE77AA">
      <w:pPr>
        <w:pageBreakBefore/>
        <w:rPr>
          <w:b/>
        </w:rPr>
      </w:pPr>
      <w:r>
        <w:rPr>
          <w:b/>
        </w:rPr>
        <w:lastRenderedPageBreak/>
        <w:t>Part II.  Organic carbon preservation and mineral surface area</w:t>
      </w:r>
    </w:p>
    <w:p w:rsidR="00DE77AA" w:rsidRDefault="00DE77AA"/>
    <w:p w:rsidR="00DE77AA" w:rsidRDefault="00DE77AA">
      <w:r>
        <w:t xml:space="preserve">What does organic carbon (OC) in sediments and sedimentary rocks look like?  Or put another way, where in a sample of sediment do we find the organic carbon?  Although our eyes may be drawn to macroscopic organic debris such as wood or leaf fragments, in actuality only a small amount of the organic matter in sediments is present as discrete, separable particles.  The bulk of the OC in most </w:t>
      </w:r>
      <w:proofErr w:type="gramStart"/>
      <w:r>
        <w:t>sediments</w:t>
      </w:r>
      <w:proofErr w:type="gramEnd"/>
      <w:r>
        <w:t xml:space="preserve"> is strongly bound to the mineral particles, coating individual grains and sandwiched between collections of them called aggregates.   We can illustrate this with a simple experiment, in which a sediment sample is submerged in a sodium polytungstate (SPT) solution with a density of 1.8 gm cm</w:t>
      </w:r>
      <w:r>
        <w:rPr>
          <w:vertAlign w:val="superscript"/>
        </w:rPr>
        <w:t>-3</w:t>
      </w:r>
      <w:r>
        <w:t>.  In this liquid, organic fragments (e.g. wood debris) will float, whereas mineral grains (average density of about 2.7 gm cm</w:t>
      </w:r>
      <w:r>
        <w:rPr>
          <w:vertAlign w:val="superscript"/>
        </w:rPr>
        <w:t>-3</w:t>
      </w:r>
      <w:r>
        <w:t xml:space="preserve">) will sink.  For most marine sediments, only a small amount of organic matter will float out of the sample, and in the case of wood or leaf debris, it is approximately 30% organic carbon. </w:t>
      </w:r>
    </w:p>
    <w:p w:rsidR="00DE77AA" w:rsidRDefault="00DE77AA"/>
    <w:p w:rsidR="00DE77AA" w:rsidRDefault="00DE77AA">
      <w:r>
        <w:t>One of the most important realizations in recent years is that the OC content of sediments and soils is strongly correlated to mineral surface area.  The amount of OC in sediments appears to roughly equivalent to that required to coat the minerals in a molecule-thick layer of organic compounds, although several studies indicate that the organic material is actually not evenly spread on the particles, but rather is patchily distributed.  Why are OC content and surface area correlated?  Organic carbon appears to bind to the particles and to “hide out” in spaces on the particles and within aggregates, thereby protecting it from the bacteria that want to eat it!  Let’s explore the implications of this by doing some simple calculations of the amount of surface area per given weight of some different size classes of sediment.</w:t>
      </w:r>
    </w:p>
    <w:p w:rsidR="00DE77AA" w:rsidRDefault="00DE77AA"/>
    <w:p w:rsidR="00DE77AA" w:rsidRDefault="00DE77AA">
      <w:proofErr w:type="gramStart"/>
      <w:r>
        <w:t>The table below gives information about the number of grains of given sizes that would constitute 1 gram of sample, based on an average mineral density of 2.7 gm cm</w:t>
      </w:r>
      <w:r>
        <w:rPr>
          <w:vertAlign w:val="superscript"/>
        </w:rPr>
        <w:t>-3</w:t>
      </w:r>
      <w:r>
        <w:t>.</w:t>
      </w:r>
      <w:proofErr w:type="gramEnd"/>
      <w:r>
        <w:t xml:space="preserve">  Assuming that these grains are roughly spherical in shape, fill in the table by calculating the surface area of a single grain and then the surface area of a gram of sample. Recall that the surface area of a sphere is given by 4 </w:t>
      </w:r>
      <w:r>
        <w:rPr>
          <w:rFonts w:ascii="Symbol" w:hAnsi="Symbol"/>
        </w:rPr>
        <w:t></w:t>
      </w:r>
      <w:r>
        <w:t xml:space="preserve"> r</w:t>
      </w:r>
      <w:r>
        <w:rPr>
          <w:vertAlign w:val="superscript"/>
        </w:rPr>
        <w:t>2</w:t>
      </w:r>
      <w:r>
        <w:t xml:space="preserve"> (where </w:t>
      </w:r>
      <w:r>
        <w:rPr>
          <w:rFonts w:ascii="Symbol" w:hAnsi="Symbol"/>
        </w:rPr>
        <w:t></w:t>
      </w:r>
      <w:r>
        <w:rPr>
          <w:rFonts w:ascii="Symbol" w:hAnsi="Symbol"/>
        </w:rPr>
        <w:t></w:t>
      </w:r>
      <w:r>
        <w:rPr>
          <w:rFonts w:ascii="Symbol" w:hAnsi="Symbol"/>
        </w:rPr>
        <w:t></w:t>
      </w:r>
      <w:r>
        <w:t xml:space="preserve"> 3.14 and r is the radius).</w:t>
      </w:r>
    </w:p>
    <w:p w:rsidR="00DE77AA" w:rsidRDefault="00DE77AA"/>
    <w:p w:rsidR="00DE77AA" w:rsidRDefault="00DE77AA">
      <w:proofErr w:type="gramStart"/>
      <w:r>
        <w:t>Table 4.</w:t>
      </w:r>
      <w:proofErr w:type="gramEnd"/>
      <w:r>
        <w:t xml:space="preserve">  Surface area of spherical grains</w:t>
      </w:r>
    </w:p>
    <w:p w:rsidR="00DE77AA" w:rsidRDefault="00DE77AA"/>
    <w:tbl>
      <w:tblPr>
        <w:tblW w:w="0" w:type="auto"/>
        <w:tblInd w:w="108" w:type="dxa"/>
        <w:tblLayout w:type="fixed"/>
        <w:tblLook w:val="0000"/>
      </w:tblPr>
      <w:tblGrid>
        <w:gridCol w:w="1440"/>
        <w:gridCol w:w="1200"/>
        <w:gridCol w:w="1356"/>
        <w:gridCol w:w="1764"/>
        <w:gridCol w:w="1651"/>
        <w:gridCol w:w="1719"/>
      </w:tblGrid>
      <w:tr w:rsidR="00DE77AA">
        <w:trPr>
          <w:trHeight w:val="276"/>
        </w:trPr>
        <w:tc>
          <w:tcPr>
            <w:tcW w:w="1440" w:type="dxa"/>
            <w:vMerge w:val="restart"/>
            <w:tcBorders>
              <w:top w:val="single" w:sz="4" w:space="0" w:color="000000"/>
              <w:left w:val="single" w:sz="4" w:space="0" w:color="000000"/>
              <w:bottom w:val="single" w:sz="4" w:space="0" w:color="000000"/>
            </w:tcBorders>
          </w:tcPr>
          <w:p w:rsidR="00DE77AA" w:rsidRDefault="00DE77AA">
            <w:pPr>
              <w:snapToGrid w:val="0"/>
            </w:pPr>
            <w:r>
              <w:t>Size class</w:t>
            </w:r>
          </w:p>
        </w:tc>
        <w:tc>
          <w:tcPr>
            <w:tcW w:w="1200" w:type="dxa"/>
            <w:vMerge w:val="restart"/>
            <w:tcBorders>
              <w:top w:val="single" w:sz="4" w:space="0" w:color="000000"/>
              <w:left w:val="single" w:sz="4" w:space="0" w:color="000000"/>
              <w:bottom w:val="single" w:sz="4" w:space="0" w:color="000000"/>
            </w:tcBorders>
          </w:tcPr>
          <w:p w:rsidR="00DE77AA" w:rsidRDefault="00DE77AA">
            <w:pPr>
              <w:snapToGrid w:val="0"/>
            </w:pPr>
            <w:r>
              <w:t>Diameter of grains in microns</w:t>
            </w:r>
          </w:p>
        </w:tc>
        <w:tc>
          <w:tcPr>
            <w:tcW w:w="1356" w:type="dxa"/>
            <w:vMerge w:val="restart"/>
            <w:tcBorders>
              <w:top w:val="single" w:sz="4" w:space="0" w:color="000000"/>
              <w:left w:val="single" w:sz="4" w:space="0" w:color="000000"/>
              <w:bottom w:val="single" w:sz="4" w:space="0" w:color="000000"/>
            </w:tcBorders>
          </w:tcPr>
          <w:p w:rsidR="00DE77AA" w:rsidRDefault="00DE77AA">
            <w:pPr>
              <w:snapToGrid w:val="0"/>
            </w:pPr>
            <w:r>
              <w:t>Diameter of grains in meters</w:t>
            </w:r>
          </w:p>
        </w:tc>
        <w:tc>
          <w:tcPr>
            <w:tcW w:w="1764" w:type="dxa"/>
            <w:vMerge w:val="restart"/>
            <w:tcBorders>
              <w:top w:val="single" w:sz="4" w:space="0" w:color="000000"/>
              <w:left w:val="single" w:sz="4" w:space="0" w:color="000000"/>
              <w:bottom w:val="single" w:sz="4" w:space="0" w:color="000000"/>
            </w:tcBorders>
          </w:tcPr>
          <w:p w:rsidR="00DE77AA" w:rsidRDefault="00DE77AA">
            <w:pPr>
              <w:snapToGrid w:val="0"/>
            </w:pPr>
            <w:r>
              <w:t>Number of grains in a gram of sample</w:t>
            </w:r>
          </w:p>
        </w:tc>
        <w:tc>
          <w:tcPr>
            <w:tcW w:w="1651" w:type="dxa"/>
            <w:vMerge w:val="restart"/>
            <w:tcBorders>
              <w:top w:val="single" w:sz="4" w:space="0" w:color="000000"/>
              <w:left w:val="single" w:sz="4" w:space="0" w:color="000000"/>
              <w:bottom w:val="single" w:sz="4" w:space="0" w:color="000000"/>
            </w:tcBorders>
          </w:tcPr>
          <w:p w:rsidR="00DE77AA" w:rsidRDefault="00DE77AA">
            <w:pPr>
              <w:snapToGrid w:val="0"/>
            </w:pPr>
            <w:r>
              <w:t>Surface area of a single spherical grain</w:t>
            </w:r>
          </w:p>
          <w:p w:rsidR="00DE77AA" w:rsidRDefault="00DE77AA">
            <w:r>
              <w:t>(in m</w:t>
            </w:r>
            <w:r>
              <w:rPr>
                <w:vertAlign w:val="superscript"/>
              </w:rPr>
              <w:t>2</w:t>
            </w:r>
            <w:r>
              <w:t>)</w:t>
            </w:r>
          </w:p>
        </w:tc>
        <w:tc>
          <w:tcPr>
            <w:tcW w:w="1719"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Surface area of a gram of these grains</w:t>
            </w:r>
          </w:p>
          <w:p w:rsidR="00DE77AA" w:rsidRDefault="00DE77AA">
            <w:r>
              <w:t>(in m</w:t>
            </w:r>
            <w:r>
              <w:rPr>
                <w:vertAlign w:val="superscript"/>
              </w:rPr>
              <w:t>2</w:t>
            </w:r>
            <w:r>
              <w:t xml:space="preserve"> gm</w:t>
            </w:r>
            <w:r>
              <w:rPr>
                <w:vertAlign w:val="superscript"/>
              </w:rPr>
              <w:t>-1</w:t>
            </w:r>
            <w:r>
              <w:t>)</w:t>
            </w:r>
          </w:p>
        </w:tc>
      </w:tr>
      <w:tr w:rsidR="00DE77AA">
        <w:trPr>
          <w:trHeight w:val="276"/>
        </w:trPr>
        <w:tc>
          <w:tcPr>
            <w:tcW w:w="1440" w:type="dxa"/>
            <w:vMerge w:val="restart"/>
            <w:tcBorders>
              <w:top w:val="single" w:sz="4" w:space="0" w:color="000000"/>
              <w:left w:val="single" w:sz="4" w:space="0" w:color="000000"/>
              <w:bottom w:val="single" w:sz="4" w:space="0" w:color="000000"/>
            </w:tcBorders>
          </w:tcPr>
          <w:p w:rsidR="00DE77AA" w:rsidRDefault="00DE77AA">
            <w:pPr>
              <w:snapToGrid w:val="0"/>
            </w:pPr>
            <w:r>
              <w:t>Coarse sand</w:t>
            </w:r>
          </w:p>
        </w:tc>
        <w:tc>
          <w:tcPr>
            <w:tcW w:w="1200" w:type="dxa"/>
            <w:vMerge w:val="restart"/>
            <w:tcBorders>
              <w:top w:val="single" w:sz="4" w:space="0" w:color="000000"/>
              <w:left w:val="single" w:sz="4" w:space="0" w:color="000000"/>
              <w:bottom w:val="single" w:sz="4" w:space="0" w:color="000000"/>
            </w:tcBorders>
          </w:tcPr>
          <w:p w:rsidR="00DE77AA" w:rsidRDefault="00DE77AA">
            <w:pPr>
              <w:snapToGrid w:val="0"/>
            </w:pPr>
            <w:r>
              <w:t>1000</w:t>
            </w:r>
          </w:p>
        </w:tc>
        <w:tc>
          <w:tcPr>
            <w:tcW w:w="1356" w:type="dxa"/>
            <w:vMerge w:val="restart"/>
            <w:tcBorders>
              <w:top w:val="single" w:sz="4" w:space="0" w:color="000000"/>
              <w:left w:val="single" w:sz="4" w:space="0" w:color="000000"/>
              <w:bottom w:val="single" w:sz="4" w:space="0" w:color="000000"/>
            </w:tcBorders>
          </w:tcPr>
          <w:p w:rsidR="00DE77AA" w:rsidRDefault="00DE77AA">
            <w:pPr>
              <w:snapToGrid w:val="0"/>
            </w:pPr>
            <w:r>
              <w:t>0.001</w:t>
            </w:r>
          </w:p>
        </w:tc>
        <w:tc>
          <w:tcPr>
            <w:tcW w:w="1764" w:type="dxa"/>
            <w:vMerge w:val="restart"/>
            <w:tcBorders>
              <w:top w:val="single" w:sz="4" w:space="0" w:color="000000"/>
              <w:left w:val="single" w:sz="4" w:space="0" w:color="000000"/>
              <w:bottom w:val="single" w:sz="4" w:space="0" w:color="000000"/>
            </w:tcBorders>
          </w:tcPr>
          <w:p w:rsidR="00DE77AA" w:rsidRDefault="00DE77AA">
            <w:pPr>
              <w:snapToGrid w:val="0"/>
            </w:pPr>
            <w:r>
              <w:t>708</w:t>
            </w:r>
          </w:p>
        </w:tc>
        <w:tc>
          <w:tcPr>
            <w:tcW w:w="1651" w:type="dxa"/>
            <w:vMerge w:val="restart"/>
            <w:tcBorders>
              <w:top w:val="single" w:sz="4" w:space="0" w:color="000000"/>
              <w:left w:val="single" w:sz="4" w:space="0" w:color="000000"/>
              <w:bottom w:val="single" w:sz="4" w:space="0" w:color="000000"/>
            </w:tcBorders>
          </w:tcPr>
          <w:p w:rsidR="00DE77AA" w:rsidRDefault="00BF74B5">
            <w:pPr>
              <w:snapToGrid w:val="0"/>
              <w:rPr>
                <w:b/>
                <w:vertAlign w:val="superscript"/>
              </w:rPr>
            </w:pPr>
            <w:r w:rsidRPr="00BF74B5">
              <w:rPr>
                <w:b/>
              </w:rPr>
              <w:t>3.14 x 10</w:t>
            </w:r>
            <w:r>
              <w:rPr>
                <w:b/>
                <w:vertAlign w:val="superscript"/>
              </w:rPr>
              <w:t>-6</w:t>
            </w:r>
          </w:p>
        </w:tc>
        <w:tc>
          <w:tcPr>
            <w:tcW w:w="1719" w:type="dxa"/>
            <w:vMerge w:val="restart"/>
            <w:tcBorders>
              <w:top w:val="single" w:sz="4" w:space="0" w:color="000000"/>
              <w:left w:val="single" w:sz="4" w:space="0" w:color="000000"/>
              <w:bottom w:val="single" w:sz="4" w:space="0" w:color="000000"/>
              <w:right w:val="single" w:sz="4" w:space="0" w:color="000000"/>
            </w:tcBorders>
          </w:tcPr>
          <w:p w:rsidR="00DE77AA" w:rsidRPr="00BF74B5" w:rsidRDefault="00BF74B5">
            <w:pPr>
              <w:snapToGrid w:val="0"/>
              <w:rPr>
                <w:b/>
              </w:rPr>
            </w:pPr>
            <w:r w:rsidRPr="00BF74B5">
              <w:rPr>
                <w:b/>
              </w:rPr>
              <w:t>0.0022</w:t>
            </w:r>
          </w:p>
        </w:tc>
      </w:tr>
      <w:tr w:rsidR="00DE77AA">
        <w:trPr>
          <w:trHeight w:val="276"/>
        </w:trPr>
        <w:tc>
          <w:tcPr>
            <w:tcW w:w="1440" w:type="dxa"/>
            <w:vMerge w:val="restart"/>
            <w:tcBorders>
              <w:top w:val="single" w:sz="4" w:space="0" w:color="000000"/>
              <w:left w:val="single" w:sz="4" w:space="0" w:color="000000"/>
              <w:bottom w:val="single" w:sz="4" w:space="0" w:color="000000"/>
            </w:tcBorders>
          </w:tcPr>
          <w:p w:rsidR="00DE77AA" w:rsidRDefault="00DE77AA">
            <w:pPr>
              <w:snapToGrid w:val="0"/>
            </w:pPr>
            <w:r>
              <w:t>Very fine sand</w:t>
            </w:r>
          </w:p>
        </w:tc>
        <w:tc>
          <w:tcPr>
            <w:tcW w:w="1200" w:type="dxa"/>
            <w:vMerge w:val="restart"/>
            <w:tcBorders>
              <w:top w:val="single" w:sz="4" w:space="0" w:color="000000"/>
              <w:left w:val="single" w:sz="4" w:space="0" w:color="000000"/>
              <w:bottom w:val="single" w:sz="4" w:space="0" w:color="000000"/>
            </w:tcBorders>
          </w:tcPr>
          <w:p w:rsidR="00DE77AA" w:rsidRDefault="00DE77AA">
            <w:pPr>
              <w:snapToGrid w:val="0"/>
            </w:pPr>
            <w:r>
              <w:t>100</w:t>
            </w:r>
          </w:p>
        </w:tc>
        <w:tc>
          <w:tcPr>
            <w:tcW w:w="1356" w:type="dxa"/>
            <w:vMerge w:val="restart"/>
            <w:tcBorders>
              <w:top w:val="single" w:sz="4" w:space="0" w:color="000000"/>
              <w:left w:val="single" w:sz="4" w:space="0" w:color="000000"/>
              <w:bottom w:val="single" w:sz="4" w:space="0" w:color="000000"/>
            </w:tcBorders>
          </w:tcPr>
          <w:p w:rsidR="00DE77AA" w:rsidRDefault="00DE77AA">
            <w:pPr>
              <w:snapToGrid w:val="0"/>
            </w:pPr>
            <w:r>
              <w:t>0.0001</w:t>
            </w:r>
          </w:p>
        </w:tc>
        <w:tc>
          <w:tcPr>
            <w:tcW w:w="1764" w:type="dxa"/>
            <w:vMerge w:val="restart"/>
            <w:tcBorders>
              <w:top w:val="single" w:sz="4" w:space="0" w:color="000000"/>
              <w:left w:val="single" w:sz="4" w:space="0" w:color="000000"/>
              <w:bottom w:val="single" w:sz="4" w:space="0" w:color="000000"/>
            </w:tcBorders>
          </w:tcPr>
          <w:p w:rsidR="00DE77AA" w:rsidRDefault="00DE77AA">
            <w:pPr>
              <w:snapToGrid w:val="0"/>
              <w:rPr>
                <w:vertAlign w:val="superscript"/>
              </w:rPr>
            </w:pPr>
            <w:r>
              <w:t>7.08 x 10</w:t>
            </w:r>
            <w:r>
              <w:rPr>
                <w:vertAlign w:val="superscript"/>
              </w:rPr>
              <w:t>5</w:t>
            </w:r>
          </w:p>
        </w:tc>
        <w:tc>
          <w:tcPr>
            <w:tcW w:w="1651" w:type="dxa"/>
            <w:vMerge w:val="restart"/>
            <w:tcBorders>
              <w:top w:val="single" w:sz="4" w:space="0" w:color="000000"/>
              <w:left w:val="single" w:sz="4" w:space="0" w:color="000000"/>
              <w:bottom w:val="single" w:sz="4" w:space="0" w:color="000000"/>
            </w:tcBorders>
          </w:tcPr>
          <w:p w:rsidR="00DE77AA" w:rsidRPr="00BF74B5" w:rsidRDefault="00BF74B5">
            <w:pPr>
              <w:snapToGrid w:val="0"/>
              <w:rPr>
                <w:b/>
              </w:rPr>
            </w:pPr>
            <w:r>
              <w:rPr>
                <w:b/>
              </w:rPr>
              <w:t>3.14x10</w:t>
            </w:r>
            <w:r w:rsidRPr="00BF74B5">
              <w:rPr>
                <w:b/>
                <w:vertAlign w:val="superscript"/>
              </w:rPr>
              <w:t>-8</w:t>
            </w:r>
          </w:p>
        </w:tc>
        <w:tc>
          <w:tcPr>
            <w:tcW w:w="1719" w:type="dxa"/>
            <w:vMerge w:val="restart"/>
            <w:tcBorders>
              <w:top w:val="single" w:sz="4" w:space="0" w:color="000000"/>
              <w:left w:val="single" w:sz="4" w:space="0" w:color="000000"/>
              <w:bottom w:val="single" w:sz="4" w:space="0" w:color="000000"/>
              <w:right w:val="single" w:sz="4" w:space="0" w:color="000000"/>
            </w:tcBorders>
          </w:tcPr>
          <w:p w:rsidR="00DE77AA" w:rsidRPr="00BF74B5" w:rsidRDefault="00BF74B5">
            <w:pPr>
              <w:snapToGrid w:val="0"/>
              <w:rPr>
                <w:b/>
              </w:rPr>
            </w:pPr>
            <w:r>
              <w:rPr>
                <w:b/>
              </w:rPr>
              <w:t>0.022</w:t>
            </w:r>
          </w:p>
        </w:tc>
      </w:tr>
      <w:tr w:rsidR="00DE77AA">
        <w:trPr>
          <w:trHeight w:val="276"/>
        </w:trPr>
        <w:tc>
          <w:tcPr>
            <w:tcW w:w="1440" w:type="dxa"/>
            <w:vMerge w:val="restart"/>
            <w:tcBorders>
              <w:top w:val="single" w:sz="4" w:space="0" w:color="000000"/>
              <w:left w:val="single" w:sz="4" w:space="0" w:color="000000"/>
              <w:bottom w:val="single" w:sz="4" w:space="0" w:color="000000"/>
            </w:tcBorders>
          </w:tcPr>
          <w:p w:rsidR="00DE77AA" w:rsidRDefault="00DE77AA">
            <w:pPr>
              <w:snapToGrid w:val="0"/>
            </w:pPr>
            <w:r>
              <w:t>Medium silt</w:t>
            </w:r>
          </w:p>
        </w:tc>
        <w:tc>
          <w:tcPr>
            <w:tcW w:w="1200" w:type="dxa"/>
            <w:vMerge w:val="restart"/>
            <w:tcBorders>
              <w:top w:val="single" w:sz="4" w:space="0" w:color="000000"/>
              <w:left w:val="single" w:sz="4" w:space="0" w:color="000000"/>
              <w:bottom w:val="single" w:sz="4" w:space="0" w:color="000000"/>
            </w:tcBorders>
          </w:tcPr>
          <w:p w:rsidR="00DE77AA" w:rsidRDefault="00DE77AA">
            <w:pPr>
              <w:snapToGrid w:val="0"/>
            </w:pPr>
            <w:r>
              <w:t>20</w:t>
            </w:r>
          </w:p>
        </w:tc>
        <w:tc>
          <w:tcPr>
            <w:tcW w:w="1356" w:type="dxa"/>
            <w:vMerge w:val="restart"/>
            <w:tcBorders>
              <w:top w:val="single" w:sz="4" w:space="0" w:color="000000"/>
              <w:left w:val="single" w:sz="4" w:space="0" w:color="000000"/>
              <w:bottom w:val="single" w:sz="4" w:space="0" w:color="000000"/>
            </w:tcBorders>
          </w:tcPr>
          <w:p w:rsidR="00DE77AA" w:rsidRDefault="00DE77AA">
            <w:pPr>
              <w:snapToGrid w:val="0"/>
            </w:pPr>
            <w:r>
              <w:t>0.00002</w:t>
            </w:r>
          </w:p>
        </w:tc>
        <w:tc>
          <w:tcPr>
            <w:tcW w:w="1764" w:type="dxa"/>
            <w:vMerge w:val="restart"/>
            <w:tcBorders>
              <w:top w:val="single" w:sz="4" w:space="0" w:color="000000"/>
              <w:left w:val="single" w:sz="4" w:space="0" w:color="000000"/>
              <w:bottom w:val="single" w:sz="4" w:space="0" w:color="000000"/>
            </w:tcBorders>
          </w:tcPr>
          <w:p w:rsidR="00DE77AA" w:rsidRDefault="00DE77AA">
            <w:pPr>
              <w:snapToGrid w:val="0"/>
              <w:rPr>
                <w:vertAlign w:val="superscript"/>
              </w:rPr>
            </w:pPr>
            <w:r>
              <w:t>8.85 x 10</w:t>
            </w:r>
            <w:r>
              <w:rPr>
                <w:vertAlign w:val="superscript"/>
              </w:rPr>
              <w:t>7</w:t>
            </w:r>
          </w:p>
        </w:tc>
        <w:tc>
          <w:tcPr>
            <w:tcW w:w="1651" w:type="dxa"/>
            <w:vMerge w:val="restart"/>
            <w:tcBorders>
              <w:top w:val="single" w:sz="4" w:space="0" w:color="000000"/>
              <w:left w:val="single" w:sz="4" w:space="0" w:color="000000"/>
              <w:bottom w:val="single" w:sz="4" w:space="0" w:color="000000"/>
            </w:tcBorders>
          </w:tcPr>
          <w:p w:rsidR="00DE77AA" w:rsidRDefault="00BF74B5">
            <w:pPr>
              <w:snapToGrid w:val="0"/>
              <w:rPr>
                <w:b/>
                <w:vertAlign w:val="superscript"/>
              </w:rPr>
            </w:pPr>
            <w:r w:rsidRPr="00BF74B5">
              <w:rPr>
                <w:b/>
              </w:rPr>
              <w:t>1.26 x 10</w:t>
            </w:r>
            <w:r>
              <w:rPr>
                <w:b/>
                <w:vertAlign w:val="superscript"/>
              </w:rPr>
              <w:t>-9</w:t>
            </w:r>
          </w:p>
        </w:tc>
        <w:tc>
          <w:tcPr>
            <w:tcW w:w="1719" w:type="dxa"/>
            <w:vMerge w:val="restart"/>
            <w:tcBorders>
              <w:top w:val="single" w:sz="4" w:space="0" w:color="000000"/>
              <w:left w:val="single" w:sz="4" w:space="0" w:color="000000"/>
              <w:bottom w:val="single" w:sz="4" w:space="0" w:color="000000"/>
              <w:right w:val="single" w:sz="4" w:space="0" w:color="000000"/>
            </w:tcBorders>
          </w:tcPr>
          <w:p w:rsidR="00DE77AA" w:rsidRPr="00BF74B5" w:rsidRDefault="00BF74B5">
            <w:pPr>
              <w:snapToGrid w:val="0"/>
              <w:rPr>
                <w:b/>
              </w:rPr>
            </w:pPr>
            <w:r>
              <w:rPr>
                <w:b/>
              </w:rPr>
              <w:t>0.11</w:t>
            </w:r>
          </w:p>
        </w:tc>
      </w:tr>
      <w:tr w:rsidR="00DE77AA">
        <w:trPr>
          <w:trHeight w:val="276"/>
        </w:trPr>
        <w:tc>
          <w:tcPr>
            <w:tcW w:w="1440" w:type="dxa"/>
            <w:vMerge w:val="restart"/>
            <w:tcBorders>
              <w:top w:val="single" w:sz="4" w:space="0" w:color="000000"/>
              <w:left w:val="single" w:sz="4" w:space="0" w:color="000000"/>
              <w:bottom w:val="single" w:sz="4" w:space="0" w:color="000000"/>
            </w:tcBorders>
          </w:tcPr>
          <w:p w:rsidR="00DE77AA" w:rsidRDefault="00DE77AA">
            <w:pPr>
              <w:snapToGrid w:val="0"/>
            </w:pPr>
            <w:r>
              <w:t>Fine silt</w:t>
            </w:r>
          </w:p>
        </w:tc>
        <w:tc>
          <w:tcPr>
            <w:tcW w:w="1200" w:type="dxa"/>
            <w:vMerge w:val="restart"/>
            <w:tcBorders>
              <w:top w:val="single" w:sz="4" w:space="0" w:color="000000"/>
              <w:left w:val="single" w:sz="4" w:space="0" w:color="000000"/>
              <w:bottom w:val="single" w:sz="4" w:space="0" w:color="000000"/>
            </w:tcBorders>
          </w:tcPr>
          <w:p w:rsidR="00DE77AA" w:rsidRDefault="00DE77AA">
            <w:pPr>
              <w:snapToGrid w:val="0"/>
            </w:pPr>
            <w:r>
              <w:t>4</w:t>
            </w:r>
          </w:p>
        </w:tc>
        <w:tc>
          <w:tcPr>
            <w:tcW w:w="1356" w:type="dxa"/>
            <w:vMerge w:val="restart"/>
            <w:tcBorders>
              <w:top w:val="single" w:sz="4" w:space="0" w:color="000000"/>
              <w:left w:val="single" w:sz="4" w:space="0" w:color="000000"/>
              <w:bottom w:val="single" w:sz="4" w:space="0" w:color="000000"/>
            </w:tcBorders>
          </w:tcPr>
          <w:p w:rsidR="00DE77AA" w:rsidRDefault="00DE77AA">
            <w:pPr>
              <w:snapToGrid w:val="0"/>
            </w:pPr>
            <w:r>
              <w:t>0.000004</w:t>
            </w:r>
          </w:p>
        </w:tc>
        <w:tc>
          <w:tcPr>
            <w:tcW w:w="1764" w:type="dxa"/>
            <w:vMerge w:val="restart"/>
            <w:tcBorders>
              <w:top w:val="single" w:sz="4" w:space="0" w:color="000000"/>
              <w:left w:val="single" w:sz="4" w:space="0" w:color="000000"/>
              <w:bottom w:val="single" w:sz="4" w:space="0" w:color="000000"/>
            </w:tcBorders>
          </w:tcPr>
          <w:p w:rsidR="00DE77AA" w:rsidRDefault="00DE77AA">
            <w:pPr>
              <w:snapToGrid w:val="0"/>
              <w:rPr>
                <w:vertAlign w:val="superscript"/>
              </w:rPr>
            </w:pPr>
            <w:r>
              <w:t>1.11 x 10</w:t>
            </w:r>
            <w:r>
              <w:rPr>
                <w:vertAlign w:val="superscript"/>
              </w:rPr>
              <w:t>10</w:t>
            </w:r>
          </w:p>
        </w:tc>
        <w:tc>
          <w:tcPr>
            <w:tcW w:w="1651" w:type="dxa"/>
            <w:vMerge w:val="restart"/>
            <w:tcBorders>
              <w:top w:val="single" w:sz="4" w:space="0" w:color="000000"/>
              <w:left w:val="single" w:sz="4" w:space="0" w:color="000000"/>
              <w:bottom w:val="single" w:sz="4" w:space="0" w:color="000000"/>
            </w:tcBorders>
          </w:tcPr>
          <w:p w:rsidR="00DE77AA" w:rsidRPr="00BF74B5" w:rsidRDefault="00BF74B5">
            <w:pPr>
              <w:snapToGrid w:val="0"/>
              <w:rPr>
                <w:b/>
              </w:rPr>
            </w:pPr>
            <w:r>
              <w:rPr>
                <w:b/>
              </w:rPr>
              <w:t>5.02 x 10</w:t>
            </w:r>
            <w:r w:rsidRPr="00BF74B5">
              <w:rPr>
                <w:b/>
                <w:vertAlign w:val="superscript"/>
              </w:rPr>
              <w:t>-11</w:t>
            </w:r>
          </w:p>
        </w:tc>
        <w:tc>
          <w:tcPr>
            <w:tcW w:w="1719"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0.56</w:t>
            </w:r>
          </w:p>
        </w:tc>
      </w:tr>
      <w:tr w:rsidR="00DE77AA">
        <w:trPr>
          <w:trHeight w:val="276"/>
        </w:trPr>
        <w:tc>
          <w:tcPr>
            <w:tcW w:w="1440" w:type="dxa"/>
            <w:vMerge w:val="restart"/>
            <w:tcBorders>
              <w:top w:val="single" w:sz="4" w:space="0" w:color="000000"/>
              <w:left w:val="single" w:sz="4" w:space="0" w:color="000000"/>
              <w:bottom w:val="single" w:sz="4" w:space="0" w:color="000000"/>
            </w:tcBorders>
          </w:tcPr>
          <w:p w:rsidR="00DE77AA" w:rsidRDefault="00DE77AA">
            <w:pPr>
              <w:snapToGrid w:val="0"/>
            </w:pPr>
            <w:r>
              <w:t>Clay</w:t>
            </w:r>
          </w:p>
        </w:tc>
        <w:tc>
          <w:tcPr>
            <w:tcW w:w="1200" w:type="dxa"/>
            <w:vMerge w:val="restart"/>
            <w:tcBorders>
              <w:top w:val="single" w:sz="4" w:space="0" w:color="000000"/>
              <w:left w:val="single" w:sz="4" w:space="0" w:color="000000"/>
              <w:bottom w:val="single" w:sz="4" w:space="0" w:color="000000"/>
            </w:tcBorders>
          </w:tcPr>
          <w:p w:rsidR="00DE77AA" w:rsidRDefault="00DE77AA">
            <w:pPr>
              <w:snapToGrid w:val="0"/>
            </w:pPr>
            <w:r>
              <w:t>1</w:t>
            </w:r>
          </w:p>
        </w:tc>
        <w:tc>
          <w:tcPr>
            <w:tcW w:w="1356" w:type="dxa"/>
            <w:vMerge w:val="restart"/>
            <w:tcBorders>
              <w:top w:val="single" w:sz="4" w:space="0" w:color="000000"/>
              <w:left w:val="single" w:sz="4" w:space="0" w:color="000000"/>
              <w:bottom w:val="single" w:sz="4" w:space="0" w:color="000000"/>
            </w:tcBorders>
          </w:tcPr>
          <w:p w:rsidR="00DE77AA" w:rsidRDefault="00DE77AA">
            <w:pPr>
              <w:snapToGrid w:val="0"/>
            </w:pPr>
            <w:r>
              <w:t>0.000001</w:t>
            </w:r>
          </w:p>
        </w:tc>
        <w:tc>
          <w:tcPr>
            <w:tcW w:w="1764" w:type="dxa"/>
            <w:vMerge w:val="restart"/>
            <w:tcBorders>
              <w:top w:val="single" w:sz="4" w:space="0" w:color="000000"/>
              <w:left w:val="single" w:sz="4" w:space="0" w:color="000000"/>
              <w:bottom w:val="single" w:sz="4" w:space="0" w:color="000000"/>
            </w:tcBorders>
          </w:tcPr>
          <w:p w:rsidR="00DE77AA" w:rsidRDefault="00DE77AA">
            <w:pPr>
              <w:snapToGrid w:val="0"/>
              <w:rPr>
                <w:vertAlign w:val="superscript"/>
              </w:rPr>
            </w:pPr>
            <w:r>
              <w:t>7.08 x 10</w:t>
            </w:r>
            <w:r>
              <w:rPr>
                <w:vertAlign w:val="superscript"/>
              </w:rPr>
              <w:t>11</w:t>
            </w:r>
          </w:p>
          <w:p w:rsidR="00DE77AA" w:rsidRDefault="00DE77AA"/>
        </w:tc>
        <w:tc>
          <w:tcPr>
            <w:tcW w:w="1651" w:type="dxa"/>
            <w:vMerge w:val="restart"/>
            <w:tcBorders>
              <w:top w:val="single" w:sz="4" w:space="0" w:color="000000"/>
              <w:left w:val="single" w:sz="4" w:space="0" w:color="000000"/>
              <w:bottom w:val="single" w:sz="4" w:space="0" w:color="000000"/>
            </w:tcBorders>
          </w:tcPr>
          <w:p w:rsidR="00DE77AA" w:rsidRPr="00BF74B5" w:rsidRDefault="00BF74B5">
            <w:pPr>
              <w:snapToGrid w:val="0"/>
              <w:rPr>
                <w:b/>
              </w:rPr>
            </w:pPr>
            <w:r>
              <w:rPr>
                <w:b/>
              </w:rPr>
              <w:t>3.14 x 10</w:t>
            </w:r>
            <w:r w:rsidRPr="00BF74B5">
              <w:rPr>
                <w:b/>
                <w:vertAlign w:val="superscript"/>
              </w:rPr>
              <w:t>-12</w:t>
            </w:r>
          </w:p>
        </w:tc>
        <w:tc>
          <w:tcPr>
            <w:tcW w:w="1719"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2.22</w:t>
            </w:r>
          </w:p>
        </w:tc>
      </w:tr>
    </w:tbl>
    <w:p w:rsidR="00DE77AA" w:rsidRDefault="00DE77AA"/>
    <w:p w:rsidR="00DE77AA" w:rsidRDefault="00DE77AA">
      <w:r>
        <w:lastRenderedPageBreak/>
        <w:t xml:space="preserve">Questions:  </w:t>
      </w:r>
    </w:p>
    <w:p w:rsidR="00DE77AA" w:rsidRDefault="00DE77AA"/>
    <w:p w:rsidR="00DE77AA" w:rsidRDefault="00DE77AA">
      <w:pPr>
        <w:numPr>
          <w:ilvl w:val="0"/>
          <w:numId w:val="8"/>
        </w:numPr>
      </w:pPr>
      <w:r>
        <w:t>How much more surface area does a 1 gm sample of 1 micron clay-sized particles have than a 1 gm sample of 100 micron very fine sand-sized particles?</w:t>
      </w:r>
    </w:p>
    <w:p w:rsidR="00DE77AA" w:rsidRDefault="00DE77AA">
      <w:pPr>
        <w:ind w:left="720"/>
        <w:rPr>
          <w:b/>
        </w:rPr>
      </w:pPr>
      <w:r>
        <w:rPr>
          <w:b/>
        </w:rPr>
        <w:t xml:space="preserve">100 </w:t>
      </w:r>
      <w:proofErr w:type="gramStart"/>
      <w:r>
        <w:rPr>
          <w:b/>
        </w:rPr>
        <w:t>x</w:t>
      </w:r>
      <w:proofErr w:type="gramEnd"/>
    </w:p>
    <w:p w:rsidR="00DE77AA" w:rsidRDefault="00DE77AA">
      <w:pPr>
        <w:ind w:left="360"/>
      </w:pPr>
    </w:p>
    <w:p w:rsidR="00DE77AA" w:rsidRDefault="00DE77AA">
      <w:pPr>
        <w:numPr>
          <w:ilvl w:val="0"/>
          <w:numId w:val="8"/>
        </w:numPr>
      </w:pPr>
      <w:r>
        <w:t>Many sand and silt grains are coated with very fine particles of clay and iron oxides.  These tiny grains have typical surface areas of 200 m</w:t>
      </w:r>
      <w:r>
        <w:rPr>
          <w:vertAlign w:val="superscript"/>
        </w:rPr>
        <w:t>2</w:t>
      </w:r>
      <w:r>
        <w:t xml:space="preserve"> gm</w:t>
      </w:r>
      <w:r>
        <w:rPr>
          <w:vertAlign w:val="superscript"/>
        </w:rPr>
        <w:t>-1</w:t>
      </w:r>
      <w:r>
        <w:t>!  If a sediment sample is composed of 98% fine silt by weight and 2% iron-oxide particles, what would you predict its surface area per gm to be?</w:t>
      </w:r>
    </w:p>
    <w:p w:rsidR="00DE77AA" w:rsidRDefault="00BF74B5">
      <w:pPr>
        <w:ind w:left="720"/>
        <w:rPr>
          <w:b/>
          <w:vertAlign w:val="superscript"/>
        </w:rPr>
      </w:pPr>
      <w:r>
        <w:rPr>
          <w:b/>
        </w:rPr>
        <w:t>4.55</w:t>
      </w:r>
      <w:r w:rsidR="00DE77AA">
        <w:rPr>
          <w:b/>
        </w:rPr>
        <w:t xml:space="preserve"> m</w:t>
      </w:r>
      <w:r w:rsidR="00DE77AA">
        <w:rPr>
          <w:b/>
          <w:vertAlign w:val="superscript"/>
        </w:rPr>
        <w:t>2</w:t>
      </w:r>
      <w:r w:rsidR="00DE77AA">
        <w:rPr>
          <w:b/>
        </w:rPr>
        <w:t xml:space="preserve"> gm</w:t>
      </w:r>
      <w:r w:rsidR="00DE77AA">
        <w:rPr>
          <w:b/>
          <w:vertAlign w:val="superscript"/>
        </w:rPr>
        <w:t>-1</w:t>
      </w:r>
    </w:p>
    <w:p w:rsidR="00DE77AA" w:rsidRDefault="00DE77AA"/>
    <w:p w:rsidR="00DE77AA" w:rsidRDefault="00DE77AA">
      <w:pPr>
        <w:numPr>
          <w:ilvl w:val="0"/>
          <w:numId w:val="8"/>
        </w:numPr>
      </w:pPr>
      <w:r>
        <w:t>Based on the results in Table 4 and the observation that the amount of organic carbon in marine sediments is correlated to surface area, in which types of sediments and sedimentary rocks would you expect to find the most organic carbon?</w:t>
      </w:r>
    </w:p>
    <w:p w:rsidR="00DE77AA" w:rsidRDefault="00DE77AA">
      <w:pPr>
        <w:ind w:left="720"/>
        <w:rPr>
          <w:b/>
        </w:rPr>
      </w:pPr>
      <w:r>
        <w:rPr>
          <w:b/>
        </w:rPr>
        <w:t>Fine-grained sediments (mud, mudrocks)</w:t>
      </w:r>
    </w:p>
    <w:p w:rsidR="00DE77AA" w:rsidRDefault="00DE77AA"/>
    <w:p w:rsidR="00DE77AA" w:rsidRDefault="00DE77AA">
      <w:pPr>
        <w:numPr>
          <w:ilvl w:val="0"/>
          <w:numId w:val="8"/>
        </w:numPr>
      </w:pPr>
      <w:r>
        <w:t xml:space="preserve">It has been proposed that times of extensive mountain building on Earth have been times of extensive organic carbon burial.  Based on what you have learned about the relationship of organic carbon to mineral surface area, why do think this would be the case? </w:t>
      </w:r>
    </w:p>
    <w:p w:rsidR="00DE77AA" w:rsidRDefault="00DE77AA">
      <w:pPr>
        <w:ind w:left="360"/>
      </w:pPr>
    </w:p>
    <w:p w:rsidR="00DE77AA" w:rsidRDefault="00DE77AA">
      <w:pPr>
        <w:ind w:left="720"/>
        <w:rPr>
          <w:b/>
        </w:rPr>
      </w:pPr>
      <w:r>
        <w:rPr>
          <w:b/>
        </w:rPr>
        <w:t>Uplift results in increased rates of erosion, production of new mineral surface area</w:t>
      </w:r>
    </w:p>
    <w:p w:rsidR="00DE77AA" w:rsidRDefault="00DE77AA">
      <w:pPr>
        <w:pageBreakBefore/>
        <w:ind w:left="720"/>
        <w:rPr>
          <w:b/>
        </w:rPr>
      </w:pPr>
      <w:r>
        <w:rPr>
          <w:b/>
        </w:rPr>
        <w:lastRenderedPageBreak/>
        <w:t>Part III.  Using organic carbon in sediments to interpret past environments</w:t>
      </w:r>
    </w:p>
    <w:p w:rsidR="00DE77AA" w:rsidRDefault="00DE77AA"/>
    <w:p w:rsidR="00DE77AA" w:rsidRDefault="00DE77AA">
      <w:r>
        <w:t xml:space="preserve">One of the most common tools used to interpret the sources of organic matter in sediments and sedimentary rocks is the ratio of the two stable carbon isotopes, </w:t>
      </w:r>
      <w:r>
        <w:rPr>
          <w:vertAlign w:val="superscript"/>
        </w:rPr>
        <w:t>13</w:t>
      </w:r>
      <w:r>
        <w:t xml:space="preserve">C and </w:t>
      </w:r>
      <w:r>
        <w:rPr>
          <w:vertAlign w:val="superscript"/>
        </w:rPr>
        <w:t>12</w:t>
      </w:r>
      <w:r>
        <w:t>C. The ratio of these two isotopes of carbon in a sample of sediment, which can be measured using an instrument called a mass spectrometer, is usually expressed as a per mille (‰) deviation (</w:t>
      </w:r>
      <w:r>
        <w:rPr>
          <w:rFonts w:ascii="Symbol" w:hAnsi="Symbol"/>
        </w:rPr>
        <w:t></w:t>
      </w:r>
      <w:r>
        <w:rPr>
          <w:vertAlign w:val="superscript"/>
        </w:rPr>
        <w:t>13</w:t>
      </w:r>
      <w:r>
        <w:t>C) from the ratio measured in an internationally recognized standard (the Pee Dee Belemnite, PDB):</w:t>
      </w:r>
    </w:p>
    <w:p w:rsidR="00DE77AA" w:rsidRDefault="00DE77AA"/>
    <w:p w:rsidR="00DE77AA" w:rsidRDefault="00DE77AA">
      <w:pPr>
        <w:jc w:val="center"/>
      </w:pPr>
      <w:r>
        <w:rPr>
          <w:rFonts w:ascii="Symbol" w:hAnsi="Symbol"/>
        </w:rPr>
        <w:t></w:t>
      </w:r>
      <w:r>
        <w:rPr>
          <w:vertAlign w:val="superscript"/>
        </w:rPr>
        <w:t>13</w:t>
      </w:r>
      <w:r>
        <w:t>C (per mille, ‰) = [(</w:t>
      </w:r>
      <w:r>
        <w:rPr>
          <w:vertAlign w:val="superscript"/>
        </w:rPr>
        <w:t>13</w:t>
      </w:r>
      <w:r>
        <w:t>C/</w:t>
      </w:r>
      <w:r>
        <w:rPr>
          <w:vertAlign w:val="superscript"/>
        </w:rPr>
        <w:t>12</w:t>
      </w:r>
      <w:r>
        <w:t>C</w:t>
      </w:r>
      <w:proofErr w:type="gramStart"/>
      <w:r>
        <w:t>)</w:t>
      </w:r>
      <w:r>
        <w:rPr>
          <w:vertAlign w:val="subscript"/>
        </w:rPr>
        <w:t>sample</w:t>
      </w:r>
      <w:proofErr w:type="gramEnd"/>
      <w:r>
        <w:t>/(</w:t>
      </w:r>
      <w:r>
        <w:rPr>
          <w:vertAlign w:val="superscript"/>
        </w:rPr>
        <w:t>13</w:t>
      </w:r>
      <w:r>
        <w:t>C/</w:t>
      </w:r>
      <w:r>
        <w:rPr>
          <w:vertAlign w:val="superscript"/>
        </w:rPr>
        <w:t>12</w:t>
      </w:r>
      <w:r>
        <w:t>C)</w:t>
      </w:r>
      <w:r>
        <w:rPr>
          <w:vertAlign w:val="subscript"/>
        </w:rPr>
        <w:t>standard</w:t>
      </w:r>
      <w:r>
        <w:t xml:space="preserve"> – 1] x 1000</w:t>
      </w:r>
    </w:p>
    <w:p w:rsidR="00DE77AA" w:rsidRDefault="00DE77AA"/>
    <w:p w:rsidR="00DE77AA" w:rsidRDefault="00DE77AA">
      <w:r>
        <w:t xml:space="preserve">Values of </w:t>
      </w:r>
      <w:r>
        <w:rPr>
          <w:rFonts w:ascii="Symbol" w:hAnsi="Symbol"/>
        </w:rPr>
        <w:t></w:t>
      </w:r>
      <w:r>
        <w:rPr>
          <w:vertAlign w:val="superscript"/>
        </w:rPr>
        <w:t>13</w:t>
      </w:r>
      <w:r>
        <w:t xml:space="preserve">C that are relatively small (i.e., more negative) indicate a sample that is depleted in the heavier isotope, </w:t>
      </w:r>
      <w:r>
        <w:rPr>
          <w:vertAlign w:val="superscript"/>
        </w:rPr>
        <w:t>13</w:t>
      </w:r>
      <w:r>
        <w:t xml:space="preserve">C relative to the standard.  In contrast, greater (more positive) </w:t>
      </w:r>
      <w:r>
        <w:rPr>
          <w:rFonts w:ascii="Symbol" w:hAnsi="Symbol"/>
        </w:rPr>
        <w:t></w:t>
      </w:r>
      <w:r>
        <w:rPr>
          <w:vertAlign w:val="superscript"/>
        </w:rPr>
        <w:t>13</w:t>
      </w:r>
      <w:r>
        <w:t xml:space="preserve">C values indicate relative enrichment in </w:t>
      </w:r>
      <w:r>
        <w:rPr>
          <w:vertAlign w:val="superscript"/>
        </w:rPr>
        <w:t>13</w:t>
      </w:r>
      <w:r>
        <w:t>C.</w:t>
      </w:r>
    </w:p>
    <w:p w:rsidR="00DE77AA" w:rsidRDefault="00DE77AA"/>
    <w:p w:rsidR="00DE77AA" w:rsidRDefault="00DE77AA">
      <w:r>
        <w:t xml:space="preserve">Stable carbon isotopes are useful for the interpretation of sedimentary environments because they occur in different proportions in the organic matter originating in plants on land and that originating from plankton near the ocean surface.  During photosynthesis, all plants preferentially take up </w:t>
      </w:r>
      <w:proofErr w:type="gramStart"/>
      <w:r>
        <w:rPr>
          <w:vertAlign w:val="superscript"/>
        </w:rPr>
        <w:t>12</w:t>
      </w:r>
      <w:r>
        <w:t>C,</w:t>
      </w:r>
      <w:proofErr w:type="gramEnd"/>
      <w:r>
        <w:t xml:space="preserve"> resulting in organic matter that is depleted in </w:t>
      </w:r>
      <w:r>
        <w:rPr>
          <w:vertAlign w:val="superscript"/>
        </w:rPr>
        <w:t>13</w:t>
      </w:r>
      <w:r>
        <w:t>C compared to the atmosphere (currently atmospheric CO</w:t>
      </w:r>
      <w:r>
        <w:rPr>
          <w:vertAlign w:val="subscript"/>
        </w:rPr>
        <w:t xml:space="preserve">2 </w:t>
      </w:r>
      <w:r>
        <w:t xml:space="preserve">has a </w:t>
      </w:r>
      <w:r>
        <w:rPr>
          <w:rFonts w:ascii="Symbol" w:hAnsi="Symbol"/>
        </w:rPr>
        <w:t></w:t>
      </w:r>
      <w:r>
        <w:rPr>
          <w:vertAlign w:val="superscript"/>
        </w:rPr>
        <w:t>13</w:t>
      </w:r>
      <w:r>
        <w:t>C of -8‰).  Most (90%) terrestrial plants fix CO</w:t>
      </w:r>
      <w:r>
        <w:rPr>
          <w:vertAlign w:val="subscript"/>
        </w:rPr>
        <w:t>2</w:t>
      </w:r>
      <w:r>
        <w:t xml:space="preserve"> by the C3 photosynthetic pathway, a process that results in organic matter with </w:t>
      </w:r>
      <w:r>
        <w:rPr>
          <w:rFonts w:ascii="Symbol" w:hAnsi="Symbol"/>
        </w:rPr>
        <w:t></w:t>
      </w:r>
      <w:r>
        <w:rPr>
          <w:vertAlign w:val="superscript"/>
        </w:rPr>
        <w:t>13</w:t>
      </w:r>
      <w:r>
        <w:t xml:space="preserve">C values ranging from -32 to -21 ‰ and averaging about -27‰.  Marine plankton, in contrast, </w:t>
      </w:r>
      <w:proofErr w:type="gramStart"/>
      <w:r>
        <w:t>have</w:t>
      </w:r>
      <w:proofErr w:type="gramEnd"/>
      <w:r>
        <w:t xml:space="preserve"> </w:t>
      </w:r>
      <w:r>
        <w:rPr>
          <w:rFonts w:ascii="Symbol" w:hAnsi="Symbol"/>
        </w:rPr>
        <w:t></w:t>
      </w:r>
      <w:r>
        <w:rPr>
          <w:vertAlign w:val="superscript"/>
        </w:rPr>
        <w:t>13</w:t>
      </w:r>
      <w:r>
        <w:t>C values between about -24 and -16‰, with an average of about -21‰.</w:t>
      </w:r>
    </w:p>
    <w:p w:rsidR="00DE77AA" w:rsidRDefault="00DE77AA"/>
    <w:p w:rsidR="00DE77AA" w:rsidRDefault="00DE77AA">
      <w:r>
        <w:t xml:space="preserve">Estuaries are one environment where both terrestrial plant and marine algal organic matter accumulate in sediments.  A gradient in the </w:t>
      </w:r>
      <w:r>
        <w:rPr>
          <w:rFonts w:ascii="Symbol" w:hAnsi="Symbol"/>
        </w:rPr>
        <w:t></w:t>
      </w:r>
      <w:r>
        <w:rPr>
          <w:vertAlign w:val="superscript"/>
        </w:rPr>
        <w:t>13</w:t>
      </w:r>
      <w:r>
        <w:t xml:space="preserve">C and C/N of organic matter is commonly observed in modern estuaries.  In the upper reaches of the estuary, organic matter in sediments typically has </w:t>
      </w:r>
      <w:r>
        <w:rPr>
          <w:rFonts w:ascii="Symbol" w:hAnsi="Symbol"/>
        </w:rPr>
        <w:t></w:t>
      </w:r>
      <w:r>
        <w:rPr>
          <w:vertAlign w:val="superscript"/>
        </w:rPr>
        <w:t>13</w:t>
      </w:r>
      <w:r>
        <w:t xml:space="preserve">C values of around –28 to 25 ‰, indicating a predominance of terrestrial OM.  Further downstream, near the estuary mouth, </w:t>
      </w:r>
      <w:r>
        <w:rPr>
          <w:rFonts w:ascii="Symbol" w:hAnsi="Symbol"/>
        </w:rPr>
        <w:t></w:t>
      </w:r>
      <w:r>
        <w:rPr>
          <w:vertAlign w:val="superscript"/>
        </w:rPr>
        <w:t>13</w:t>
      </w:r>
      <w:r>
        <w:t xml:space="preserve">C values of about -21 to -19 ‰, reflecting the deposition of marine algal OC.  By determining an average “end-member” </w:t>
      </w:r>
      <w:r>
        <w:rPr>
          <w:rFonts w:ascii="Symbol" w:hAnsi="Symbol"/>
        </w:rPr>
        <w:t></w:t>
      </w:r>
      <w:r>
        <w:rPr>
          <w:vertAlign w:val="superscript"/>
        </w:rPr>
        <w:t>13</w:t>
      </w:r>
      <w:r>
        <w:t>C for the terrestrial and marine OC (</w:t>
      </w:r>
      <w:r>
        <w:rPr>
          <w:rFonts w:ascii="Symbol" w:hAnsi="Symbol"/>
        </w:rPr>
        <w:t></w:t>
      </w:r>
      <w:r>
        <w:rPr>
          <w:vertAlign w:val="superscript"/>
        </w:rPr>
        <w:t>13</w:t>
      </w:r>
      <w:r>
        <w:t>C</w:t>
      </w:r>
      <w:r>
        <w:rPr>
          <w:vertAlign w:val="subscript"/>
        </w:rPr>
        <w:t xml:space="preserve">terr </w:t>
      </w:r>
      <w:r>
        <w:t xml:space="preserve">and </w:t>
      </w:r>
      <w:r>
        <w:rPr>
          <w:rFonts w:ascii="Symbol" w:hAnsi="Symbol"/>
        </w:rPr>
        <w:t></w:t>
      </w:r>
      <w:r>
        <w:rPr>
          <w:vertAlign w:val="superscript"/>
        </w:rPr>
        <w:t>13</w:t>
      </w:r>
      <w:r>
        <w:t>C</w:t>
      </w:r>
      <w:r>
        <w:rPr>
          <w:vertAlign w:val="subscript"/>
        </w:rPr>
        <w:t>mar</w:t>
      </w:r>
      <w:r>
        <w:t>) in a particular system, the fractions of material from these sources (F</w:t>
      </w:r>
      <w:r>
        <w:rPr>
          <w:vertAlign w:val="subscript"/>
        </w:rPr>
        <w:t>terr</w:t>
      </w:r>
      <w:r>
        <w:t xml:space="preserve"> and F</w:t>
      </w:r>
      <w:r>
        <w:rPr>
          <w:vertAlign w:val="subscript"/>
        </w:rPr>
        <w:t>mar</w:t>
      </w:r>
      <w:r>
        <w:t>) can be estimated using a simple mass balance where:</w:t>
      </w:r>
    </w:p>
    <w:p w:rsidR="00DE77AA" w:rsidRDefault="00DE77AA"/>
    <w:p w:rsidR="00DE77AA" w:rsidRDefault="00DE77AA">
      <w:pPr>
        <w:numPr>
          <w:ilvl w:val="0"/>
          <w:numId w:val="4"/>
        </w:numPr>
      </w:pPr>
      <w:r>
        <w:t>(</w:t>
      </w:r>
      <w:r>
        <w:rPr>
          <w:rFonts w:ascii="Symbol" w:hAnsi="Symbol"/>
        </w:rPr>
        <w:t></w:t>
      </w:r>
      <w:r>
        <w:rPr>
          <w:vertAlign w:val="superscript"/>
        </w:rPr>
        <w:t>13</w:t>
      </w:r>
      <w:r>
        <w:t>C)</w:t>
      </w:r>
      <w:r>
        <w:rPr>
          <w:vertAlign w:val="subscript"/>
        </w:rPr>
        <w:t>sample</w:t>
      </w:r>
      <w:r>
        <w:t xml:space="preserve"> = F</w:t>
      </w:r>
      <w:r>
        <w:rPr>
          <w:vertAlign w:val="subscript"/>
        </w:rPr>
        <w:t>terr</w:t>
      </w:r>
      <w:r>
        <w:t>(</w:t>
      </w:r>
      <w:r>
        <w:rPr>
          <w:rFonts w:ascii="Symbol" w:hAnsi="Symbol"/>
        </w:rPr>
        <w:t></w:t>
      </w:r>
      <w:r>
        <w:rPr>
          <w:vertAlign w:val="superscript"/>
        </w:rPr>
        <w:t>13</w:t>
      </w:r>
      <w:r>
        <w:t>C</w:t>
      </w:r>
      <w:r>
        <w:rPr>
          <w:vertAlign w:val="subscript"/>
        </w:rPr>
        <w:t>terr</w:t>
      </w:r>
      <w:r>
        <w:t>) + F</w:t>
      </w:r>
      <w:r>
        <w:rPr>
          <w:vertAlign w:val="subscript"/>
        </w:rPr>
        <w:t>mar</w:t>
      </w:r>
      <w:r>
        <w:t>(</w:t>
      </w:r>
      <w:r>
        <w:rPr>
          <w:rFonts w:ascii="Symbol" w:hAnsi="Symbol"/>
        </w:rPr>
        <w:t></w:t>
      </w:r>
      <w:r>
        <w:rPr>
          <w:vertAlign w:val="superscript"/>
        </w:rPr>
        <w:t>13</w:t>
      </w:r>
      <w:r>
        <w:t>C</w:t>
      </w:r>
      <w:r>
        <w:rPr>
          <w:vertAlign w:val="subscript"/>
        </w:rPr>
        <w:t>mar</w:t>
      </w:r>
      <w:r>
        <w:t>)</w:t>
      </w:r>
    </w:p>
    <w:p w:rsidR="00DE77AA" w:rsidRDefault="00DE77AA">
      <w:pPr>
        <w:numPr>
          <w:ilvl w:val="0"/>
          <w:numId w:val="4"/>
        </w:numPr>
        <w:rPr>
          <w:vertAlign w:val="subscript"/>
        </w:rPr>
      </w:pPr>
      <w:r>
        <w:t>F</w:t>
      </w:r>
      <w:r>
        <w:rPr>
          <w:vertAlign w:val="subscript"/>
        </w:rPr>
        <w:t>mar</w:t>
      </w:r>
      <w:r>
        <w:t xml:space="preserve"> = 1 – F</w:t>
      </w:r>
      <w:r>
        <w:rPr>
          <w:vertAlign w:val="subscript"/>
        </w:rPr>
        <w:t>terr</w:t>
      </w:r>
    </w:p>
    <w:p w:rsidR="00DE77AA" w:rsidRDefault="00DE77AA">
      <w:pPr>
        <w:rPr>
          <w:vertAlign w:val="subscript"/>
        </w:rPr>
      </w:pPr>
    </w:p>
    <w:p w:rsidR="00DE77AA" w:rsidRDefault="00DE77AA">
      <w:r>
        <w:t>Combining these two expressions, we get:</w:t>
      </w:r>
    </w:p>
    <w:p w:rsidR="00DE77AA" w:rsidRDefault="00DE77AA"/>
    <w:p w:rsidR="00DE77AA" w:rsidRDefault="00DE77AA">
      <w:pPr>
        <w:numPr>
          <w:ilvl w:val="0"/>
          <w:numId w:val="4"/>
        </w:numPr>
      </w:pPr>
      <w:r>
        <w:t>F</w:t>
      </w:r>
      <w:r>
        <w:rPr>
          <w:vertAlign w:val="subscript"/>
        </w:rPr>
        <w:t>terr</w:t>
      </w:r>
      <w:r>
        <w:t xml:space="preserve"> = [</w:t>
      </w:r>
      <w:r>
        <w:rPr>
          <w:rFonts w:ascii="Symbol" w:hAnsi="Symbol"/>
        </w:rPr>
        <w:t></w:t>
      </w:r>
      <w:r>
        <w:rPr>
          <w:vertAlign w:val="superscript"/>
        </w:rPr>
        <w:t>13</w:t>
      </w:r>
      <w:r>
        <w:t>C</w:t>
      </w:r>
      <w:r>
        <w:rPr>
          <w:vertAlign w:val="subscript"/>
        </w:rPr>
        <w:t xml:space="preserve">sample </w:t>
      </w:r>
      <w:r>
        <w:t xml:space="preserve">- </w:t>
      </w:r>
      <w:r>
        <w:rPr>
          <w:rFonts w:ascii="Symbol" w:hAnsi="Symbol"/>
        </w:rPr>
        <w:t></w:t>
      </w:r>
      <w:r>
        <w:rPr>
          <w:vertAlign w:val="superscript"/>
        </w:rPr>
        <w:t>13</w:t>
      </w:r>
      <w:r>
        <w:t>C</w:t>
      </w:r>
      <w:r>
        <w:rPr>
          <w:vertAlign w:val="subscript"/>
        </w:rPr>
        <w:t>mar</w:t>
      </w:r>
      <w:r>
        <w:t>] / [</w:t>
      </w:r>
      <w:r>
        <w:rPr>
          <w:rFonts w:ascii="Symbol" w:hAnsi="Symbol"/>
        </w:rPr>
        <w:t></w:t>
      </w:r>
      <w:r>
        <w:rPr>
          <w:vertAlign w:val="superscript"/>
        </w:rPr>
        <w:t>13</w:t>
      </w:r>
      <w:r>
        <w:t>C</w:t>
      </w:r>
      <w:r>
        <w:rPr>
          <w:vertAlign w:val="subscript"/>
        </w:rPr>
        <w:t xml:space="preserve">terr </w:t>
      </w:r>
      <w:r>
        <w:t xml:space="preserve">- </w:t>
      </w:r>
      <w:r>
        <w:rPr>
          <w:rFonts w:ascii="Symbol" w:hAnsi="Symbol"/>
        </w:rPr>
        <w:t></w:t>
      </w:r>
      <w:r>
        <w:rPr>
          <w:vertAlign w:val="superscript"/>
        </w:rPr>
        <w:t>13</w:t>
      </w:r>
      <w:r>
        <w:t>C</w:t>
      </w:r>
      <w:r>
        <w:rPr>
          <w:vertAlign w:val="subscript"/>
        </w:rPr>
        <w:t>mar</w:t>
      </w:r>
      <w:r>
        <w:t>]</w:t>
      </w:r>
    </w:p>
    <w:p w:rsidR="00DE77AA" w:rsidRDefault="00DE77AA"/>
    <w:p w:rsidR="00DE77AA" w:rsidRDefault="00DE77AA">
      <w:pPr>
        <w:pageBreakBefore/>
      </w:pPr>
      <w:r>
        <w:rPr>
          <w:u w:val="single"/>
        </w:rPr>
        <w:lastRenderedPageBreak/>
        <w:t>Example</w:t>
      </w:r>
      <w:r>
        <w:t xml:space="preserve">:  A sample of sediment recovered from an estuary has organic carbon with </w:t>
      </w:r>
      <w:r>
        <w:rPr>
          <w:rFonts w:ascii="Symbol" w:hAnsi="Symbol"/>
        </w:rPr>
        <w:t></w:t>
      </w:r>
      <w:r>
        <w:rPr>
          <w:vertAlign w:val="superscript"/>
        </w:rPr>
        <w:t>13</w:t>
      </w:r>
      <w:r>
        <w:t xml:space="preserve">C = -25.  Assuming that the terrestrial OC in this area has a </w:t>
      </w:r>
      <w:r>
        <w:rPr>
          <w:rFonts w:ascii="Symbol" w:hAnsi="Symbol"/>
        </w:rPr>
        <w:t></w:t>
      </w:r>
      <w:r>
        <w:rPr>
          <w:vertAlign w:val="superscript"/>
        </w:rPr>
        <w:t>13</w:t>
      </w:r>
      <w:r>
        <w:t xml:space="preserve">C of -27 and the marine OC has a </w:t>
      </w:r>
      <w:r>
        <w:rPr>
          <w:rFonts w:ascii="Symbol" w:hAnsi="Symbol"/>
        </w:rPr>
        <w:t></w:t>
      </w:r>
      <w:r>
        <w:rPr>
          <w:vertAlign w:val="superscript"/>
        </w:rPr>
        <w:t>13</w:t>
      </w:r>
      <w:r>
        <w:t xml:space="preserve">C of -20, how much of the OC in this sample is terrestrial and how much is </w:t>
      </w:r>
      <w:proofErr w:type="gramStart"/>
      <w:r>
        <w:t>marine</w:t>
      </w:r>
      <w:proofErr w:type="gramEnd"/>
      <w:r>
        <w:t>?</w:t>
      </w:r>
    </w:p>
    <w:p w:rsidR="00DE77AA" w:rsidRDefault="00DE77AA"/>
    <w:p w:rsidR="00DE77AA" w:rsidRDefault="00DE77AA">
      <w:r>
        <w:t>Fterr = [(-25) – (-20)] / [(-27) - (-20)] = 0.71 (71%)</w:t>
      </w:r>
    </w:p>
    <w:p w:rsidR="00DE77AA" w:rsidRDefault="00DE77AA"/>
    <w:p w:rsidR="00DE77AA" w:rsidRDefault="00DE77AA">
      <w:r>
        <w:t>Fmar = 1- 0.71 = 0.29 (29%)</w:t>
      </w:r>
    </w:p>
    <w:p w:rsidR="00DE77AA" w:rsidRDefault="00DE77AA"/>
    <w:p w:rsidR="00DE77AA" w:rsidRDefault="00DE77AA">
      <w:r>
        <w:rPr>
          <w:u w:val="single"/>
        </w:rPr>
        <w:t>Exercise</w:t>
      </w:r>
      <w:r>
        <w:t xml:space="preserve">: A recent study by Zong et al. (2006) utilized the trend in </w:t>
      </w:r>
      <w:r>
        <w:rPr>
          <w:rFonts w:ascii="Symbol" w:hAnsi="Symbol"/>
        </w:rPr>
        <w:t></w:t>
      </w:r>
      <w:r>
        <w:rPr>
          <w:vertAlign w:val="superscript"/>
        </w:rPr>
        <w:t>13</w:t>
      </w:r>
      <w:r>
        <w:t>C along the axis of the lower Pearl River estuary in southern China to interpret the record of river discharge preserved in a 10-m-long sediment core containing Holocene sediments.  Their reconstruction relies on the observation that the position of the freshwater/salt water interface in estuaries is governed by the balance between river flow and tides.  During times of increased river discharge, terrestrial OC tends to accumulate further seaward in estuaries than during times of diminished river flow.</w:t>
      </w:r>
    </w:p>
    <w:p w:rsidR="00DE77AA" w:rsidRDefault="00DE77AA"/>
    <w:p w:rsidR="00DE77AA" w:rsidRDefault="00DE77AA">
      <w:r>
        <w:t>The data below are based on the study by Zong et al. (2006), but have been modified for the purpose of this exercise.</w:t>
      </w:r>
    </w:p>
    <w:p w:rsidR="00DE77AA" w:rsidRDefault="00DE77AA">
      <w:pPr>
        <w:numPr>
          <w:ilvl w:val="0"/>
          <w:numId w:val="7"/>
        </w:numPr>
      </w:pPr>
      <w:r>
        <w:t>For each data point, use the carbon isotope mass balance equation (equation 3) to calculate the fractions of terrestrial (</w:t>
      </w:r>
      <w:r>
        <w:rPr>
          <w:rFonts w:ascii="Symbol" w:hAnsi="Symbol"/>
        </w:rPr>
        <w:t></w:t>
      </w:r>
      <w:r>
        <w:rPr>
          <w:vertAlign w:val="superscript"/>
        </w:rPr>
        <w:t>13</w:t>
      </w:r>
      <w:r>
        <w:t>C = -26.5 ‰) and marine (</w:t>
      </w:r>
      <w:r>
        <w:rPr>
          <w:rFonts w:ascii="Symbol" w:hAnsi="Symbol"/>
        </w:rPr>
        <w:t></w:t>
      </w:r>
      <w:r>
        <w:rPr>
          <w:vertAlign w:val="superscript"/>
        </w:rPr>
        <w:t>13</w:t>
      </w:r>
      <w:r>
        <w:t>C = -21.0 ‰) carbon.</w:t>
      </w:r>
    </w:p>
    <w:p w:rsidR="00DE77AA" w:rsidRDefault="00DE77AA">
      <w:pPr>
        <w:numPr>
          <w:ilvl w:val="0"/>
          <w:numId w:val="7"/>
        </w:numPr>
        <w:rPr>
          <w:b/>
        </w:rPr>
      </w:pPr>
      <w:r>
        <w:t xml:space="preserve">What do these trends suggest about changes in river discharge and climate in southern China during the Holocene?   </w:t>
      </w:r>
      <w:r>
        <w:rPr>
          <w:b/>
        </w:rPr>
        <w:t>Wetter climate, peaking about 6800 yrs B.P.</w:t>
      </w:r>
    </w:p>
    <w:p w:rsidR="00DE77AA" w:rsidRDefault="00DE77AA">
      <w:pPr>
        <w:numPr>
          <w:ilvl w:val="0"/>
          <w:numId w:val="7"/>
        </w:numPr>
        <w:rPr>
          <w:b/>
        </w:rPr>
      </w:pPr>
      <w:r>
        <w:t xml:space="preserve">What other types of data might you want to collect from the Pearl River estuary core to test your interpretation?   </w:t>
      </w:r>
      <w:r>
        <w:rPr>
          <w:b/>
        </w:rPr>
        <w:t>Microfossils (e.g. diatoms), grain size</w:t>
      </w:r>
    </w:p>
    <w:p w:rsidR="00DE77AA" w:rsidRDefault="00DE77AA">
      <w:pPr>
        <w:numPr>
          <w:ilvl w:val="0"/>
          <w:numId w:val="7"/>
        </w:numPr>
      </w:pPr>
      <w:r>
        <w:t>In what other types of sedimentary deposits/sedimentary rocks might carbon isotopes be used in a similar fashion for paleoenvironmental information?</w:t>
      </w:r>
    </w:p>
    <w:p w:rsidR="00DE77AA" w:rsidRDefault="00DE77AA">
      <w:pPr>
        <w:ind w:left="720"/>
        <w:rPr>
          <w:b/>
        </w:rPr>
      </w:pPr>
      <w:r>
        <w:rPr>
          <w:b/>
        </w:rPr>
        <w:t>Deltaic, shallow marine sediments</w:t>
      </w:r>
    </w:p>
    <w:tbl>
      <w:tblPr>
        <w:tblW w:w="8979" w:type="dxa"/>
        <w:tblInd w:w="-5" w:type="dxa"/>
        <w:tblLayout w:type="fixed"/>
        <w:tblLook w:val="0000"/>
      </w:tblPr>
      <w:tblGrid>
        <w:gridCol w:w="1781"/>
        <w:gridCol w:w="2280"/>
        <w:gridCol w:w="2400"/>
        <w:gridCol w:w="2518"/>
      </w:tblGrid>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Depth in core (cm)</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 xml:space="preserve">Approximate age of core interval (years before present, based on </w:t>
            </w:r>
            <w:r>
              <w:rPr>
                <w:vertAlign w:val="superscript"/>
              </w:rPr>
              <w:t>14</w:t>
            </w:r>
            <w:r>
              <w:t>C)</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 xml:space="preserve">Measured </w:t>
            </w:r>
            <w:r>
              <w:rPr>
                <w:rFonts w:ascii="Symbol" w:hAnsi="Symbol"/>
              </w:rPr>
              <w:t></w:t>
            </w:r>
            <w:r>
              <w:rPr>
                <w:vertAlign w:val="superscript"/>
              </w:rPr>
              <w:t>13</w:t>
            </w:r>
            <w:r>
              <w:t>C of organic matter</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DE77AA">
            <w:pPr>
              <w:snapToGrid w:val="0"/>
            </w:pPr>
            <w:r>
              <w:t>Calculated % terrestrial and % marine OC</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bookmarkStart w:id="0" w:name="OLE_LINK1"/>
            <w:bookmarkStart w:id="1" w:name="OLE_LINK2"/>
            <w:bookmarkStart w:id="2" w:name="_Hlk139521041"/>
            <w:bookmarkEnd w:id="0"/>
            <w:bookmarkEnd w:id="1"/>
            <w:bookmarkEnd w:id="2"/>
            <w:r>
              <w:t>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recent</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-23.3</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42, 58</w:t>
            </w:r>
            <w:r w:rsidR="00DE77AA">
              <w:rPr>
                <w:b/>
              </w:rPr>
              <w:t xml:space="preserve"> %</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100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 xml:space="preserve">1470 </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-24.5</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64, 36</w:t>
            </w:r>
            <w:r w:rsidR="00DE77AA">
              <w:rPr>
                <w:b/>
              </w:rPr>
              <w:t xml:space="preserve"> %</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200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3350</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-25.0</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73, 27</w:t>
            </w:r>
            <w:r w:rsidR="00DE77AA">
              <w:rPr>
                <w:b/>
              </w:rPr>
              <w:t xml:space="preserve"> %</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300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4400</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-25.5</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82, 18</w:t>
            </w:r>
            <w:r w:rsidR="00DE77AA">
              <w:rPr>
                <w:b/>
              </w:rPr>
              <w:t xml:space="preserve"> %</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400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5476</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-25.7</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85, 15</w:t>
            </w:r>
            <w:r w:rsidR="00DE77AA">
              <w:rPr>
                <w:b/>
              </w:rPr>
              <w:t xml:space="preserve"> %</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500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6050</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-25.8</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 xml:space="preserve">87, </w:t>
            </w:r>
            <w:r w:rsidR="00DE77AA">
              <w:rPr>
                <w:b/>
              </w:rPr>
              <w:t xml:space="preserve"> </w:t>
            </w:r>
            <w:r>
              <w:rPr>
                <w:b/>
              </w:rPr>
              <w:t>13</w:t>
            </w:r>
            <w:r w:rsidR="00DE77AA">
              <w:rPr>
                <w:b/>
              </w:rPr>
              <w:t>%</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600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6800</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-26.5</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100, 0</w:t>
            </w:r>
            <w:r w:rsidR="00DE77AA">
              <w:rPr>
                <w:b/>
              </w:rPr>
              <w:t xml:space="preserve"> %</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700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7200</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-26.2</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95, 5</w:t>
            </w:r>
            <w:r w:rsidR="00DE77AA">
              <w:rPr>
                <w:b/>
              </w:rPr>
              <w:t>%</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800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7800</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-25.5</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82, 18</w:t>
            </w:r>
            <w:r w:rsidR="00DE77AA">
              <w:rPr>
                <w:b/>
              </w:rPr>
              <w:t xml:space="preserve"> %</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900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8155</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-24.6</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65, 35</w:t>
            </w:r>
            <w:r w:rsidR="00DE77AA">
              <w:rPr>
                <w:b/>
              </w:rPr>
              <w:t>%</w:t>
            </w:r>
          </w:p>
        </w:tc>
      </w:tr>
      <w:tr w:rsidR="00DE77AA" w:rsidTr="00BF74B5">
        <w:trPr>
          <w:trHeight w:val="276"/>
        </w:trPr>
        <w:tc>
          <w:tcPr>
            <w:tcW w:w="1781" w:type="dxa"/>
            <w:vMerge w:val="restart"/>
            <w:tcBorders>
              <w:top w:val="single" w:sz="4" w:space="0" w:color="000000"/>
              <w:left w:val="single" w:sz="4" w:space="0" w:color="000000"/>
              <w:bottom w:val="single" w:sz="4" w:space="0" w:color="000000"/>
            </w:tcBorders>
          </w:tcPr>
          <w:p w:rsidR="00DE77AA" w:rsidRDefault="00DE77AA">
            <w:pPr>
              <w:snapToGrid w:val="0"/>
            </w:pPr>
            <w:r>
              <w:t>1000</w:t>
            </w:r>
          </w:p>
        </w:tc>
        <w:tc>
          <w:tcPr>
            <w:tcW w:w="2280" w:type="dxa"/>
            <w:vMerge w:val="restart"/>
            <w:tcBorders>
              <w:top w:val="single" w:sz="4" w:space="0" w:color="000000"/>
              <w:left w:val="single" w:sz="4" w:space="0" w:color="000000"/>
              <w:bottom w:val="single" w:sz="4" w:space="0" w:color="000000"/>
            </w:tcBorders>
          </w:tcPr>
          <w:p w:rsidR="00DE77AA" w:rsidRDefault="00DE77AA">
            <w:pPr>
              <w:snapToGrid w:val="0"/>
            </w:pPr>
            <w:r>
              <w:t>8500</w:t>
            </w:r>
          </w:p>
        </w:tc>
        <w:tc>
          <w:tcPr>
            <w:tcW w:w="2400" w:type="dxa"/>
            <w:vMerge w:val="restart"/>
            <w:tcBorders>
              <w:top w:val="single" w:sz="4" w:space="0" w:color="000000"/>
              <w:left w:val="single" w:sz="4" w:space="0" w:color="000000"/>
              <w:bottom w:val="single" w:sz="4" w:space="0" w:color="000000"/>
            </w:tcBorders>
          </w:tcPr>
          <w:p w:rsidR="00DE77AA" w:rsidRDefault="00DE77AA">
            <w:pPr>
              <w:snapToGrid w:val="0"/>
            </w:pPr>
            <w:r>
              <w:t>-23.5</w:t>
            </w:r>
          </w:p>
        </w:tc>
        <w:tc>
          <w:tcPr>
            <w:tcW w:w="2518" w:type="dxa"/>
            <w:vMerge w:val="restart"/>
            <w:tcBorders>
              <w:top w:val="single" w:sz="4" w:space="0" w:color="000000"/>
              <w:left w:val="single" w:sz="4" w:space="0" w:color="000000"/>
              <w:bottom w:val="single" w:sz="4" w:space="0" w:color="000000"/>
              <w:right w:val="single" w:sz="4" w:space="0" w:color="000000"/>
            </w:tcBorders>
          </w:tcPr>
          <w:p w:rsidR="00DE77AA" w:rsidRDefault="00BF74B5">
            <w:pPr>
              <w:snapToGrid w:val="0"/>
              <w:rPr>
                <w:b/>
              </w:rPr>
            </w:pPr>
            <w:r>
              <w:rPr>
                <w:b/>
              </w:rPr>
              <w:t>45, 55</w:t>
            </w:r>
            <w:r w:rsidR="00DE77AA">
              <w:rPr>
                <w:b/>
              </w:rPr>
              <w:t xml:space="preserve"> %</w:t>
            </w:r>
          </w:p>
        </w:tc>
      </w:tr>
    </w:tbl>
    <w:p w:rsidR="00DE77AA" w:rsidRDefault="00DE77AA">
      <w:pPr>
        <w:ind w:left="360"/>
      </w:pPr>
    </w:p>
    <w:p w:rsidR="00DE77AA" w:rsidRDefault="00DE77AA">
      <w:pPr>
        <w:pageBreakBefore/>
      </w:pPr>
      <w:r>
        <w:rPr>
          <w:u w:val="single"/>
        </w:rPr>
        <w:lastRenderedPageBreak/>
        <w:t>For further reading</w:t>
      </w:r>
      <w:r>
        <w:t xml:space="preserve">: </w:t>
      </w:r>
    </w:p>
    <w:p w:rsidR="00DE77AA" w:rsidRDefault="00DE77AA"/>
    <w:p w:rsidR="00DE77AA" w:rsidRDefault="00DE77AA">
      <w:r>
        <w:t>Hedges, J.I., and Keil, R.G., 1995, Sedimentary organic carbon preservation: an assessment and speculative synthesis: Marine Chemistry, v. 49, p.81-115.</w:t>
      </w:r>
    </w:p>
    <w:p w:rsidR="00DE77AA" w:rsidRDefault="00DE77AA"/>
    <w:p w:rsidR="00DE77AA" w:rsidRDefault="00DE77AA">
      <w:r>
        <w:t xml:space="preserve">Lamb, A.L., Wilson, G.P., and Leng, M.J., 2006, </w:t>
      </w:r>
      <w:proofErr w:type="gramStart"/>
      <w:r>
        <w:t>A</w:t>
      </w:r>
      <w:proofErr w:type="gramEnd"/>
      <w:r>
        <w:t xml:space="preserve"> review of coastal paleoclimate and relative sea-level reconstructions using </w:t>
      </w:r>
      <w:r>
        <w:rPr>
          <w:rFonts w:ascii="Symbol" w:hAnsi="Symbol"/>
        </w:rPr>
        <w:t></w:t>
      </w:r>
      <w:r>
        <w:rPr>
          <w:vertAlign w:val="superscript"/>
        </w:rPr>
        <w:t>13</w:t>
      </w:r>
      <w:r>
        <w:t>C and C/N ratios in organic material: Earth Science Reviews, v. 75, p.29-57.</w:t>
      </w:r>
    </w:p>
    <w:p w:rsidR="00DE77AA" w:rsidRDefault="00DE77AA"/>
    <w:p w:rsidR="00DE77AA" w:rsidRDefault="00DE77AA">
      <w:r>
        <w:t>Meyers, P.A., 1997, Organic geochemical proxies of paleoceanographic, paleolimnologic, and paleoclimatic processes: Organic Geochemistry, v. 27, p.213-250.</w:t>
      </w:r>
    </w:p>
    <w:p w:rsidR="00DE77AA" w:rsidRDefault="00DE77AA"/>
    <w:p w:rsidR="00DE77AA" w:rsidRDefault="00DE77AA">
      <w:r>
        <w:t xml:space="preserve">Ransom, B., Kim, D., Kastner, M., and Wainwright, S., 1998, Organic matter preservation on continental slopes: Importance of mineralogy and surface area: Geochimica </w:t>
      </w:r>
      <w:proofErr w:type="gramStart"/>
      <w:r>
        <w:t>et</w:t>
      </w:r>
      <w:proofErr w:type="gramEnd"/>
      <w:r>
        <w:t xml:space="preserve"> Cosmochimica Acta, v. 62, p.1329-1345.</w:t>
      </w:r>
    </w:p>
    <w:p w:rsidR="00DE77AA" w:rsidRDefault="00DE77AA"/>
    <w:p w:rsidR="00DE77AA" w:rsidRDefault="00DE77AA">
      <w:r>
        <w:t>Zong, Y., Lloyd, J.M., Leng, M.J., Yim, W.W.-S., and Huang, G., 2006, Reconstruction of Holocene monsoon history from the Pearl River Estuary, southern China, using diatoms and carbon isotope ratios: The Holocene, v. 16, p.251-263.</w:t>
      </w:r>
    </w:p>
    <w:p w:rsidR="00DE77AA" w:rsidRDefault="00DE77AA"/>
    <w:sectPr w:rsidR="00DE77AA">
      <w:headerReference w:type="default" r:id="rId7"/>
      <w:footnotePr>
        <w:pos w:val="beneathText"/>
      </w:footnotePr>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29E" w:rsidRDefault="00ED729E" w:rsidP="00BF74B5">
      <w:r>
        <w:separator/>
      </w:r>
    </w:p>
  </w:endnote>
  <w:endnote w:type="continuationSeparator" w:id="0">
    <w:p w:rsidR="00ED729E" w:rsidRDefault="00ED729E" w:rsidP="00BF74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29E" w:rsidRDefault="00ED729E" w:rsidP="00BF74B5">
      <w:r>
        <w:separator/>
      </w:r>
    </w:p>
  </w:footnote>
  <w:footnote w:type="continuationSeparator" w:id="0">
    <w:p w:rsidR="00ED729E" w:rsidRDefault="00ED729E" w:rsidP="00BF7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4B5" w:rsidRDefault="00BF74B5">
    <w:pPr>
      <w:pStyle w:val="Header"/>
    </w:pPr>
    <w:r>
      <w:t>7/28/11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singleLevel"/>
    <w:tmpl w:val="00000004"/>
    <w:name w:val="WW8Num4"/>
    <w:lvl w:ilvl="0">
      <w:start w:val="1"/>
      <w:numFmt w:val="decimal"/>
      <w:lvlText w:val="(%1)"/>
      <w:lvlJc w:val="left"/>
      <w:pPr>
        <w:tabs>
          <w:tab w:val="num" w:pos="1080"/>
        </w:tabs>
        <w:ind w:left="1080" w:hanging="720"/>
      </w:pPr>
    </w:lvl>
  </w:abstractNum>
  <w:abstractNum w:abstractNumId="4">
    <w:nsid w:val="00000005"/>
    <w:multiLevelType w:val="singleLevel"/>
    <w:tmpl w:val="00000005"/>
    <w:name w:val="WW8Num5"/>
    <w:lvl w:ilvl="0">
      <w:start w:val="1"/>
      <w:numFmt w:val="bullet"/>
      <w:lvlText w:val=""/>
      <w:lvlJc w:val="left"/>
      <w:pPr>
        <w:tabs>
          <w:tab w:val="num" w:pos="1080"/>
        </w:tabs>
        <w:ind w:left="108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1080"/>
        </w:tabs>
        <w:ind w:left="1080" w:hanging="360"/>
      </w:pPr>
      <w:rPr>
        <w:rFonts w:ascii="Symbol" w:hAnsi="Symbol"/>
      </w:rPr>
    </w:lvl>
  </w:abstractNum>
  <w:abstractNum w:abstractNumId="6">
    <w:nsid w:val="00000007"/>
    <w:multiLevelType w:val="singleLevel"/>
    <w:tmpl w:val="00000007"/>
    <w:name w:val="WW8Num7"/>
    <w:lvl w:ilvl="0">
      <w:start w:val="1"/>
      <w:numFmt w:val="lowerLetter"/>
      <w:lvlText w:val="%1)"/>
      <w:lvlJc w:val="left"/>
      <w:pPr>
        <w:tabs>
          <w:tab w:val="num" w:pos="720"/>
        </w:tabs>
        <w:ind w:left="720" w:hanging="360"/>
      </w:pPr>
    </w:lvl>
  </w:abstractNum>
  <w:abstractNum w:abstractNumId="7">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nsid w:val="00000009"/>
    <w:multiLevelType w:val="multilevel"/>
    <w:tmpl w:val="00000009"/>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rsids>
    <w:rsidRoot w:val="00BF74B5"/>
    <w:rsid w:val="0077392B"/>
    <w:rsid w:val="008D77B3"/>
    <w:rsid w:val="00BF74B5"/>
    <w:rsid w:val="00DE77AA"/>
    <w:rsid w:val="00ED72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link w:val="HeaderChar"/>
    <w:uiPriority w:val="99"/>
    <w:semiHidden/>
    <w:unhideWhenUsed/>
    <w:rsid w:val="00BF74B5"/>
    <w:pPr>
      <w:tabs>
        <w:tab w:val="center" w:pos="4680"/>
        <w:tab w:val="right" w:pos="9360"/>
      </w:tabs>
    </w:pPr>
  </w:style>
  <w:style w:type="character" w:customStyle="1" w:styleId="HeaderChar">
    <w:name w:val="Header Char"/>
    <w:basedOn w:val="DefaultParagraphFont"/>
    <w:link w:val="Header"/>
    <w:uiPriority w:val="99"/>
    <w:semiHidden/>
    <w:rsid w:val="00BF74B5"/>
    <w:rPr>
      <w:sz w:val="24"/>
      <w:szCs w:val="24"/>
      <w:lang w:eastAsia="ar-SA"/>
    </w:rPr>
  </w:style>
  <w:style w:type="paragraph" w:styleId="Footer">
    <w:name w:val="footer"/>
    <w:basedOn w:val="Normal"/>
    <w:link w:val="FooterChar"/>
    <w:uiPriority w:val="99"/>
    <w:semiHidden/>
    <w:unhideWhenUsed/>
    <w:rsid w:val="00BF74B5"/>
    <w:pPr>
      <w:tabs>
        <w:tab w:val="center" w:pos="4680"/>
        <w:tab w:val="right" w:pos="9360"/>
      </w:tabs>
    </w:pPr>
  </w:style>
  <w:style w:type="character" w:customStyle="1" w:styleId="FooterChar">
    <w:name w:val="Footer Char"/>
    <w:basedOn w:val="DefaultParagraphFont"/>
    <w:link w:val="Footer"/>
    <w:uiPriority w:val="99"/>
    <w:semiHidden/>
    <w:rsid w:val="00BF74B5"/>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57550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2198</Words>
  <Characters>12529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Sediments and the Global Carbon Cycle</vt:lpstr>
    </vt:vector>
  </TitlesOfParts>
  <Company>Carleton College</Company>
  <LinksUpToDate>false</LinksUpToDate>
  <CharactersWithSpaces>14698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Sediments and the Global Carbon Cycle</dc:title>
  <dc:creator>Lonnie Leithold</dc:creator>
  <cp:lastModifiedBy>mbruckne</cp:lastModifiedBy>
  <cp:revision>2</cp:revision>
  <cp:lastPrinted>2011-07-28T19:34:00Z</cp:lastPrinted>
  <dcterms:created xsi:type="dcterms:W3CDTF">2011-07-28T17:43:00Z</dcterms:created>
  <dcterms:modified xsi:type="dcterms:W3CDTF">2011-07-28T17:43:00Z</dcterms:modified>
</cp:coreProperties>
</file>