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69AC9" w14:textId="7A9F3235" w:rsidR="00E51D45" w:rsidRPr="00E51D45" w:rsidRDefault="003022CF">
      <w:pPr>
        <w:rPr>
          <w:b/>
          <w:sz w:val="24"/>
          <w:szCs w:val="24"/>
          <w:u w:val="single"/>
        </w:rPr>
      </w:pPr>
      <w:r>
        <w:rPr>
          <w:b/>
          <w:sz w:val="24"/>
          <w:szCs w:val="24"/>
          <w:u w:val="single"/>
        </w:rPr>
        <w:t>Debunking Climate Change Myths</w:t>
      </w:r>
      <w:r w:rsidR="0098378E">
        <w:rPr>
          <w:b/>
          <w:sz w:val="24"/>
          <w:szCs w:val="24"/>
          <w:u w:val="single"/>
        </w:rPr>
        <w:t xml:space="preserve"> in the Classroom</w:t>
      </w:r>
    </w:p>
    <w:p w14:paraId="492D0DC6" w14:textId="77777777" w:rsidR="00E51D45" w:rsidRDefault="00E51D45">
      <w:pPr>
        <w:rPr>
          <w:b/>
          <w:sz w:val="24"/>
          <w:szCs w:val="24"/>
        </w:rPr>
      </w:pPr>
    </w:p>
    <w:p w14:paraId="60764F54" w14:textId="77777777" w:rsidR="00E51D45" w:rsidRDefault="00E51D45">
      <w:pPr>
        <w:rPr>
          <w:sz w:val="24"/>
          <w:szCs w:val="24"/>
        </w:rPr>
      </w:pPr>
      <w:r>
        <w:rPr>
          <w:sz w:val="24"/>
          <w:szCs w:val="24"/>
        </w:rPr>
        <w:t>Daniel Bedford</w:t>
      </w:r>
    </w:p>
    <w:p w14:paraId="35CE20A8" w14:textId="77777777" w:rsidR="00E51D45" w:rsidRDefault="00E51D45">
      <w:pPr>
        <w:rPr>
          <w:sz w:val="24"/>
          <w:szCs w:val="24"/>
        </w:rPr>
      </w:pPr>
      <w:r>
        <w:rPr>
          <w:sz w:val="24"/>
          <w:szCs w:val="24"/>
        </w:rPr>
        <w:t>Geography Department</w:t>
      </w:r>
    </w:p>
    <w:p w14:paraId="3FC7B063" w14:textId="77777777" w:rsidR="00E51D45" w:rsidRDefault="00E51D45">
      <w:pPr>
        <w:rPr>
          <w:sz w:val="24"/>
          <w:szCs w:val="24"/>
        </w:rPr>
      </w:pPr>
      <w:r>
        <w:rPr>
          <w:sz w:val="24"/>
          <w:szCs w:val="24"/>
        </w:rPr>
        <w:t>Weber State University</w:t>
      </w:r>
    </w:p>
    <w:p w14:paraId="6AC69A42" w14:textId="77777777" w:rsidR="00E51D45" w:rsidRDefault="00E51D45">
      <w:pPr>
        <w:rPr>
          <w:sz w:val="24"/>
          <w:szCs w:val="24"/>
        </w:rPr>
      </w:pPr>
      <w:r>
        <w:rPr>
          <w:sz w:val="24"/>
          <w:szCs w:val="24"/>
        </w:rPr>
        <w:t>Ogden</w:t>
      </w:r>
    </w:p>
    <w:p w14:paraId="6018BD14" w14:textId="77777777" w:rsidR="00E51D45" w:rsidRDefault="00E51D45">
      <w:pPr>
        <w:rPr>
          <w:sz w:val="24"/>
          <w:szCs w:val="24"/>
        </w:rPr>
      </w:pPr>
      <w:r>
        <w:rPr>
          <w:sz w:val="24"/>
          <w:szCs w:val="24"/>
        </w:rPr>
        <w:t>UT 84408-1210</w:t>
      </w:r>
    </w:p>
    <w:p w14:paraId="301A7FB5" w14:textId="77777777" w:rsidR="00E51D45" w:rsidRDefault="001503A2">
      <w:pPr>
        <w:rPr>
          <w:sz w:val="24"/>
          <w:szCs w:val="24"/>
        </w:rPr>
      </w:pPr>
      <w:hyperlink r:id="rId6" w:history="1">
        <w:r w:rsidR="00E51D45" w:rsidRPr="00D31549">
          <w:rPr>
            <w:rStyle w:val="Hyperlink"/>
            <w:sz w:val="24"/>
            <w:szCs w:val="24"/>
          </w:rPr>
          <w:t>dbedford@weber.edu</w:t>
        </w:r>
      </w:hyperlink>
    </w:p>
    <w:p w14:paraId="03A21B9F" w14:textId="77777777" w:rsidR="00E51D45" w:rsidRDefault="00E51D45">
      <w:pPr>
        <w:rPr>
          <w:sz w:val="24"/>
          <w:szCs w:val="24"/>
        </w:rPr>
      </w:pPr>
    </w:p>
    <w:p w14:paraId="7D0A6692" w14:textId="77777777" w:rsidR="00E51D45" w:rsidRDefault="00E51D45">
      <w:pPr>
        <w:rPr>
          <w:b/>
          <w:sz w:val="24"/>
          <w:szCs w:val="24"/>
        </w:rPr>
      </w:pPr>
      <w:r w:rsidRPr="00E51D45">
        <w:rPr>
          <w:b/>
          <w:sz w:val="24"/>
          <w:szCs w:val="24"/>
        </w:rPr>
        <w:t>Background information</w:t>
      </w:r>
    </w:p>
    <w:p w14:paraId="130DD7A4" w14:textId="07AB03E2" w:rsidR="00EE4BF6" w:rsidRDefault="00E51D45" w:rsidP="003022CF">
      <w:pPr>
        <w:ind w:firstLine="720"/>
        <w:rPr>
          <w:sz w:val="24"/>
          <w:szCs w:val="24"/>
        </w:rPr>
      </w:pPr>
      <w:r>
        <w:rPr>
          <w:sz w:val="24"/>
          <w:szCs w:val="24"/>
        </w:rPr>
        <w:t xml:space="preserve">This exercise is used in GEOG 3050 Weather and Climate, an upper-division class often taken by geography and geoscience majors. </w:t>
      </w:r>
      <w:r w:rsidR="00142B38">
        <w:rPr>
          <w:sz w:val="24"/>
          <w:szCs w:val="24"/>
        </w:rPr>
        <w:t xml:space="preserve">The purpose is to test students’ critical thinking skills by exposing them to common climate change contrarian arguments (nicely embodied in </w:t>
      </w:r>
      <w:r w:rsidR="003022CF">
        <w:rPr>
          <w:sz w:val="24"/>
          <w:szCs w:val="24"/>
        </w:rPr>
        <w:t>a recent syndicated newspaper op-ed article</w:t>
      </w:r>
      <w:r w:rsidR="00142B38">
        <w:rPr>
          <w:sz w:val="24"/>
          <w:szCs w:val="24"/>
        </w:rPr>
        <w:t xml:space="preserve">). </w:t>
      </w:r>
      <w:r w:rsidR="00EE4BF6">
        <w:rPr>
          <w:sz w:val="24"/>
          <w:szCs w:val="24"/>
        </w:rPr>
        <w:t>Essentially, the idea of this assignment is to test the resilience of student content knowledge in the face of plausible-sounding challenges.</w:t>
      </w:r>
    </w:p>
    <w:p w14:paraId="1A03DEFF" w14:textId="73D54B01" w:rsidR="00142B38" w:rsidRDefault="00142B38" w:rsidP="003022CF">
      <w:pPr>
        <w:ind w:firstLine="720"/>
        <w:rPr>
          <w:sz w:val="24"/>
          <w:szCs w:val="24"/>
        </w:rPr>
      </w:pPr>
      <w:r>
        <w:rPr>
          <w:sz w:val="24"/>
          <w:szCs w:val="24"/>
        </w:rPr>
        <w:t xml:space="preserve">It is very important to be aware that this assignment is </w:t>
      </w:r>
      <w:r>
        <w:rPr>
          <w:b/>
          <w:sz w:val="24"/>
          <w:szCs w:val="24"/>
        </w:rPr>
        <w:t>not</w:t>
      </w:r>
      <w:r>
        <w:rPr>
          <w:sz w:val="24"/>
          <w:szCs w:val="24"/>
        </w:rPr>
        <w:t xml:space="preserve"> intended to teach students the required content knowledge. Content knowledge—on the nature of, theoretical underpinnings of, and observational and model evidence for the scientific consensus on climate change—must be addressed earlier in the semester, allowing this exercise to serve as a capstone near the end of the semester.</w:t>
      </w:r>
      <w:r w:rsidR="00EE4BF6">
        <w:rPr>
          <w:sz w:val="24"/>
          <w:szCs w:val="24"/>
        </w:rPr>
        <w:t xml:space="preserve"> Instruction directly using myth debunking is prone to </w:t>
      </w:r>
      <w:r w:rsidR="003022CF">
        <w:rPr>
          <w:sz w:val="24"/>
          <w:szCs w:val="24"/>
        </w:rPr>
        <w:t>backfiring</w:t>
      </w:r>
      <w:r w:rsidR="00EE4BF6">
        <w:rPr>
          <w:sz w:val="24"/>
          <w:szCs w:val="24"/>
        </w:rPr>
        <w:t xml:space="preserve">, as detailed </w:t>
      </w:r>
      <w:r w:rsidR="003022CF">
        <w:rPr>
          <w:sz w:val="24"/>
          <w:szCs w:val="24"/>
        </w:rPr>
        <w:t>in</w:t>
      </w:r>
      <w:r w:rsidR="00EE4BF6">
        <w:rPr>
          <w:sz w:val="24"/>
          <w:szCs w:val="24"/>
        </w:rPr>
        <w:t xml:space="preserve"> Cook and </w:t>
      </w:r>
      <w:proofErr w:type="spellStart"/>
      <w:r w:rsidR="00EE4BF6">
        <w:rPr>
          <w:sz w:val="24"/>
          <w:szCs w:val="24"/>
        </w:rPr>
        <w:t>Lewandowsky’s</w:t>
      </w:r>
      <w:proofErr w:type="spellEnd"/>
      <w:r w:rsidR="00EE4BF6">
        <w:rPr>
          <w:sz w:val="24"/>
          <w:szCs w:val="24"/>
        </w:rPr>
        <w:t xml:space="preserve"> (2011) </w:t>
      </w:r>
      <w:r w:rsidR="00EE4BF6" w:rsidRPr="00EE4BF6">
        <w:rPr>
          <w:i/>
          <w:sz w:val="24"/>
          <w:szCs w:val="24"/>
        </w:rPr>
        <w:t>Myth Debunking Handbook</w:t>
      </w:r>
      <w:r w:rsidR="00EE4BF6">
        <w:rPr>
          <w:sz w:val="24"/>
          <w:szCs w:val="24"/>
        </w:rPr>
        <w:t>.</w:t>
      </w:r>
    </w:p>
    <w:p w14:paraId="218EA7F1" w14:textId="77777777" w:rsidR="00EE4BF6" w:rsidRDefault="00EE4BF6">
      <w:pPr>
        <w:rPr>
          <w:sz w:val="24"/>
          <w:szCs w:val="24"/>
        </w:rPr>
      </w:pPr>
    </w:p>
    <w:p w14:paraId="78CD9114" w14:textId="77777777" w:rsidR="00EE4BF6" w:rsidRDefault="00EE4BF6">
      <w:pPr>
        <w:rPr>
          <w:sz w:val="24"/>
          <w:szCs w:val="24"/>
        </w:rPr>
      </w:pPr>
      <w:r>
        <w:rPr>
          <w:b/>
          <w:sz w:val="24"/>
          <w:szCs w:val="24"/>
        </w:rPr>
        <w:t>Broader Context and Goals</w:t>
      </w:r>
    </w:p>
    <w:p w14:paraId="0143A5E1" w14:textId="77777777" w:rsidR="00D2293D" w:rsidRPr="00EE4BF6" w:rsidRDefault="00EE4BF6" w:rsidP="003022CF">
      <w:pPr>
        <w:ind w:firstLine="720"/>
        <w:rPr>
          <w:sz w:val="24"/>
          <w:szCs w:val="24"/>
        </w:rPr>
      </w:pPr>
      <w:r>
        <w:rPr>
          <w:sz w:val="24"/>
          <w:szCs w:val="24"/>
        </w:rPr>
        <w:t xml:space="preserve">It is inevitable that students will encounter the arguments of climate change contrarians somewhere in their lives outside the classroom. These arguments can be seductively plausible in the absence of concrete information to the contrary, which most non-specialists simply do not have. This may be an important reason for the success of the climate change misinformation campaign (detailed in </w:t>
      </w:r>
      <w:proofErr w:type="spellStart"/>
      <w:r>
        <w:rPr>
          <w:sz w:val="24"/>
          <w:szCs w:val="24"/>
        </w:rPr>
        <w:t>Oreskes</w:t>
      </w:r>
      <w:proofErr w:type="spellEnd"/>
      <w:r>
        <w:rPr>
          <w:sz w:val="24"/>
          <w:szCs w:val="24"/>
        </w:rPr>
        <w:t xml:space="preserve"> and Conway’s (2010)</w:t>
      </w:r>
      <w:r w:rsidR="00D2293D">
        <w:rPr>
          <w:sz w:val="24"/>
          <w:szCs w:val="24"/>
        </w:rPr>
        <w:t xml:space="preserve"> </w:t>
      </w:r>
      <w:r w:rsidR="00D2293D" w:rsidRPr="00D2293D">
        <w:rPr>
          <w:i/>
          <w:sz w:val="24"/>
          <w:szCs w:val="24"/>
        </w:rPr>
        <w:t>Merchants of Doubt</w:t>
      </w:r>
      <w:r w:rsidR="00D2293D">
        <w:rPr>
          <w:sz w:val="24"/>
          <w:szCs w:val="24"/>
        </w:rPr>
        <w:t xml:space="preserve"> and elsewhere). Exposing students to misinformation in the classroom can be risky (see Cook and </w:t>
      </w:r>
      <w:proofErr w:type="spellStart"/>
      <w:r w:rsidR="00D2293D">
        <w:rPr>
          <w:sz w:val="24"/>
          <w:szCs w:val="24"/>
        </w:rPr>
        <w:t>Lewandowsky</w:t>
      </w:r>
      <w:proofErr w:type="spellEnd"/>
      <w:r w:rsidR="00D2293D">
        <w:rPr>
          <w:sz w:val="24"/>
          <w:szCs w:val="24"/>
        </w:rPr>
        <w:t>, 2011), but can accomplish important learning goals if handled carefully—and it is surely better that students encounter this “toxic sludge” while in the company of an expert (the professor teaching the class) than on their own. Ideally, students should develop not only a stronger understanding of the basic science of climate change, but also should emerge with stronger critical thinking skills, which can be applied beyond the narrow area of climate science.</w:t>
      </w:r>
    </w:p>
    <w:p w14:paraId="67A20895" w14:textId="3EC83F63" w:rsidR="00D2293D" w:rsidRDefault="00D2293D" w:rsidP="003022CF">
      <w:pPr>
        <w:ind w:firstLine="720"/>
        <w:rPr>
          <w:sz w:val="24"/>
          <w:szCs w:val="24"/>
        </w:rPr>
      </w:pPr>
      <w:r>
        <w:rPr>
          <w:sz w:val="24"/>
          <w:szCs w:val="24"/>
        </w:rPr>
        <w:t xml:space="preserve">The following document is the </w:t>
      </w:r>
      <w:r w:rsidR="003022CF">
        <w:rPr>
          <w:sz w:val="24"/>
          <w:szCs w:val="24"/>
        </w:rPr>
        <w:t>final exam question</w:t>
      </w:r>
      <w:r>
        <w:rPr>
          <w:sz w:val="24"/>
          <w:szCs w:val="24"/>
        </w:rPr>
        <w:t xml:space="preserve"> provided to students. An</w:t>
      </w:r>
      <w:r w:rsidR="003022CF">
        <w:rPr>
          <w:sz w:val="24"/>
          <w:szCs w:val="24"/>
        </w:rPr>
        <w:t xml:space="preserve"> extensive examination of climate change misinformation</w:t>
      </w:r>
      <w:r>
        <w:rPr>
          <w:sz w:val="24"/>
          <w:szCs w:val="24"/>
        </w:rPr>
        <w:t xml:space="preserve"> </w:t>
      </w:r>
      <w:r w:rsidR="003022CF">
        <w:rPr>
          <w:sz w:val="24"/>
          <w:szCs w:val="24"/>
        </w:rPr>
        <w:t xml:space="preserve">occupies the last week or so of class, involving an in-class discussion and written analysis of the arguments presented in Michael Crichton’s 2004 novel </w:t>
      </w:r>
      <w:r w:rsidR="003022CF" w:rsidRPr="003022CF">
        <w:rPr>
          <w:i/>
          <w:sz w:val="24"/>
          <w:szCs w:val="24"/>
        </w:rPr>
        <w:t>State of Fear</w:t>
      </w:r>
      <w:r w:rsidR="003022CF">
        <w:rPr>
          <w:sz w:val="24"/>
          <w:szCs w:val="24"/>
        </w:rPr>
        <w:t>. The final exam question is therefore not their first exposure to climate change misinformation. However, the basic idea of the assignment—analyzing misinformation—could be applied in many different contexts, such as in-class discussion, group presentations on particular sections, etc. The key idea is for students to see misinformation, and understand why it is false or misleading.</w:t>
      </w:r>
    </w:p>
    <w:p w14:paraId="67E4F15A" w14:textId="77777777" w:rsidR="003022CF" w:rsidRPr="00AA70B8" w:rsidRDefault="00E51D45" w:rsidP="003022CF">
      <w:pPr>
        <w:rPr>
          <w:rFonts w:ascii="Times" w:hAnsi="Times"/>
          <w:sz w:val="24"/>
        </w:rPr>
      </w:pPr>
      <w:r>
        <w:rPr>
          <w:b/>
          <w:sz w:val="24"/>
          <w:szCs w:val="24"/>
        </w:rPr>
        <w:br w:type="page"/>
      </w:r>
      <w:r w:rsidR="003022CF">
        <w:rPr>
          <w:rFonts w:ascii="Times" w:hAnsi="Times"/>
          <w:b/>
          <w:sz w:val="24"/>
          <w:u w:val="single"/>
        </w:rPr>
        <w:lastRenderedPageBreak/>
        <w:t>Response question</w:t>
      </w:r>
      <w:r w:rsidR="003022CF">
        <w:rPr>
          <w:rFonts w:ascii="Times" w:hAnsi="Times"/>
          <w:sz w:val="24"/>
        </w:rPr>
        <w:t xml:space="preserve"> (5 points)</w:t>
      </w:r>
    </w:p>
    <w:p w14:paraId="550C034E" w14:textId="77777777" w:rsidR="003022CF" w:rsidRDefault="003022CF" w:rsidP="003022CF">
      <w:pPr>
        <w:rPr>
          <w:rFonts w:ascii="Times" w:hAnsi="Times"/>
          <w:sz w:val="24"/>
        </w:rPr>
      </w:pPr>
    </w:p>
    <w:p w14:paraId="63ED9399" w14:textId="77777777" w:rsidR="001503A2" w:rsidRDefault="003022CF" w:rsidP="001503A2">
      <w:pPr>
        <w:rPr>
          <w:rFonts w:ascii="Times" w:hAnsi="Times"/>
          <w:sz w:val="24"/>
        </w:rPr>
      </w:pPr>
      <w:r>
        <w:rPr>
          <w:rFonts w:ascii="Times" w:hAnsi="Times"/>
          <w:sz w:val="24"/>
        </w:rPr>
        <w:t xml:space="preserve">Please read the following article, reprinted in the </w:t>
      </w:r>
      <w:r>
        <w:rPr>
          <w:rFonts w:ascii="Times" w:hAnsi="Times"/>
          <w:i/>
          <w:sz w:val="24"/>
        </w:rPr>
        <w:t>Standard-Examiner</w:t>
      </w:r>
      <w:r>
        <w:rPr>
          <w:rFonts w:ascii="Times" w:hAnsi="Times"/>
          <w:sz w:val="24"/>
        </w:rPr>
        <w:t xml:space="preserve"> in 2008. Explain whether you agree or disagree with the article, and explain why.</w:t>
      </w:r>
    </w:p>
    <w:p w14:paraId="7C42311A" w14:textId="77777777" w:rsidR="001503A2" w:rsidRDefault="001503A2" w:rsidP="001503A2">
      <w:pPr>
        <w:rPr>
          <w:rFonts w:ascii="Times" w:hAnsi="Times"/>
          <w:sz w:val="24"/>
        </w:rPr>
      </w:pPr>
    </w:p>
    <w:p w14:paraId="52E4FAAE" w14:textId="77777777" w:rsidR="001503A2" w:rsidRDefault="001503A2">
      <w:r>
        <w:rPr>
          <w:rFonts w:ascii="Times" w:hAnsi="Times"/>
          <w:sz w:val="24"/>
        </w:rPr>
        <w:t>************************************************************************</w:t>
      </w:r>
    </w:p>
    <w:p w14:paraId="7143C6D7" w14:textId="69255719" w:rsidR="001503A2" w:rsidRDefault="001503A2" w:rsidP="001503A2">
      <w:pPr>
        <w:jc w:val="center"/>
        <w:rPr>
          <w:rFonts w:ascii="Times" w:hAnsi="Times"/>
          <w:sz w:val="24"/>
        </w:rPr>
      </w:pPr>
      <w:r>
        <w:rPr>
          <w:rFonts w:ascii="Times" w:hAnsi="Times"/>
          <w:sz w:val="24"/>
        </w:rPr>
        <w:t>COPYRIGHT RESTRICTIONS PREVENT POSTING OF THE COMPLETE ARTICLE</w:t>
      </w:r>
    </w:p>
    <w:p w14:paraId="3571C87E" w14:textId="77777777" w:rsidR="001503A2" w:rsidRDefault="001503A2" w:rsidP="001503A2">
      <w:pPr>
        <w:jc w:val="center"/>
        <w:rPr>
          <w:rFonts w:ascii="Times" w:hAnsi="Times"/>
          <w:sz w:val="24"/>
        </w:rPr>
      </w:pPr>
    </w:p>
    <w:p w14:paraId="695983CD" w14:textId="1E562878" w:rsidR="001503A2" w:rsidRDefault="001503A2" w:rsidP="001503A2">
      <w:pPr>
        <w:jc w:val="center"/>
        <w:rPr>
          <w:rFonts w:ascii="Times" w:hAnsi="Times"/>
          <w:sz w:val="24"/>
        </w:rPr>
      </w:pPr>
      <w:r>
        <w:rPr>
          <w:rFonts w:ascii="Times" w:hAnsi="Times"/>
          <w:sz w:val="24"/>
        </w:rPr>
        <w:t xml:space="preserve">The article utilized is “Is Global Cooling Next?” by </w:t>
      </w:r>
      <w:proofErr w:type="spellStart"/>
      <w:r>
        <w:rPr>
          <w:rFonts w:ascii="Times" w:hAnsi="Times"/>
          <w:sz w:val="24"/>
        </w:rPr>
        <w:t>DeRoy</w:t>
      </w:r>
      <w:proofErr w:type="spellEnd"/>
      <w:r>
        <w:rPr>
          <w:rFonts w:ascii="Times" w:hAnsi="Times"/>
          <w:sz w:val="24"/>
        </w:rPr>
        <w:t xml:space="preserve"> Murdock, syndicated and published in several different locations in 2008.</w:t>
      </w:r>
    </w:p>
    <w:p w14:paraId="588B454E" w14:textId="51E020C6" w:rsidR="001503A2" w:rsidRDefault="001503A2" w:rsidP="001503A2">
      <w:pPr>
        <w:jc w:val="center"/>
        <w:rPr>
          <w:rFonts w:ascii="Times" w:hAnsi="Times"/>
          <w:sz w:val="24"/>
        </w:rPr>
      </w:pPr>
      <w:r>
        <w:rPr>
          <w:rFonts w:ascii="Times" w:hAnsi="Times"/>
          <w:sz w:val="24"/>
        </w:rPr>
        <w:t xml:space="preserve">It can be found online at the website Human Events, </w:t>
      </w:r>
      <w:r w:rsidRPr="001503A2">
        <w:rPr>
          <w:rFonts w:ascii="Times" w:hAnsi="Times"/>
          <w:sz w:val="24"/>
        </w:rPr>
        <w:t>http://www.humanevents.com/article.php?id=26315</w:t>
      </w:r>
    </w:p>
    <w:p w14:paraId="52E026ED" w14:textId="77777777" w:rsidR="001503A2" w:rsidRDefault="001503A2" w:rsidP="001503A2">
      <w:pPr>
        <w:rPr>
          <w:rFonts w:ascii="Times" w:hAnsi="Times"/>
          <w:sz w:val="24"/>
        </w:rPr>
      </w:pPr>
      <w:bookmarkStart w:id="0" w:name="_GoBack"/>
      <w:bookmarkEnd w:id="0"/>
    </w:p>
    <w:sectPr w:rsidR="001503A2" w:rsidSect="0063160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C38"/>
    <w:multiLevelType w:val="singleLevel"/>
    <w:tmpl w:val="6B760126"/>
    <w:lvl w:ilvl="0">
      <w:start w:val="1"/>
      <w:numFmt w:val="decimal"/>
      <w:lvlText w:val="%1. "/>
      <w:legacy w:legacy="1" w:legacySpace="0" w:legacyIndent="360"/>
      <w:lvlJc w:val="left"/>
      <w:pPr>
        <w:ind w:left="360" w:hanging="360"/>
      </w:pPr>
      <w:rPr>
        <w:rFonts w:ascii="Times" w:hAnsi="Times" w:cs="Times" w:hint="default"/>
        <w:b w:val="0"/>
        <w:i w:val="0"/>
        <w:sz w:val="24"/>
        <w:u w:val="none"/>
      </w:rPr>
    </w:lvl>
  </w:abstractNum>
  <w:abstractNum w:abstractNumId="1">
    <w:nsid w:val="06B74ACE"/>
    <w:multiLevelType w:val="hybridMultilevel"/>
    <w:tmpl w:val="1896AFC0"/>
    <w:lvl w:ilvl="0" w:tplc="D9B48608">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480B16"/>
    <w:multiLevelType w:val="hybridMultilevel"/>
    <w:tmpl w:val="29005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8A37BE"/>
    <w:multiLevelType w:val="hybridMultilevel"/>
    <w:tmpl w:val="590C77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AC2D89"/>
    <w:multiLevelType w:val="hybridMultilevel"/>
    <w:tmpl w:val="AA8078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1D3367"/>
    <w:multiLevelType w:val="singleLevel"/>
    <w:tmpl w:val="6B760126"/>
    <w:lvl w:ilvl="0">
      <w:start w:val="1"/>
      <w:numFmt w:val="decimal"/>
      <w:lvlText w:val="%1. "/>
      <w:legacy w:legacy="1" w:legacySpace="0" w:legacyIndent="360"/>
      <w:lvlJc w:val="left"/>
      <w:pPr>
        <w:ind w:left="360" w:hanging="360"/>
      </w:pPr>
      <w:rPr>
        <w:rFonts w:ascii="Times" w:hAnsi="Times" w:cs="Times" w:hint="default"/>
        <w:b w:val="0"/>
        <w:i w:val="0"/>
        <w:sz w:val="24"/>
        <w:u w:val="none"/>
      </w:rPr>
    </w:lvl>
  </w:abstractNum>
  <w:abstractNum w:abstractNumId="6">
    <w:nsid w:val="32CD2822"/>
    <w:multiLevelType w:val="hybridMultilevel"/>
    <w:tmpl w:val="4F700ED8"/>
    <w:lvl w:ilvl="0" w:tplc="D76E1B94">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E802D4"/>
    <w:multiLevelType w:val="hybridMultilevel"/>
    <w:tmpl w:val="1E5031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C222D3"/>
    <w:multiLevelType w:val="singleLevel"/>
    <w:tmpl w:val="0D2211D4"/>
    <w:lvl w:ilvl="0">
      <w:start w:val="1"/>
      <w:numFmt w:val="decimal"/>
      <w:lvlText w:val="%1. "/>
      <w:legacy w:legacy="1" w:legacySpace="0" w:legacyIndent="360"/>
      <w:lvlJc w:val="left"/>
      <w:pPr>
        <w:ind w:left="360" w:hanging="360"/>
      </w:pPr>
      <w:rPr>
        <w:rFonts w:ascii="Times" w:hAnsi="Times" w:cs="Times" w:hint="default"/>
        <w:b w:val="0"/>
        <w:i w:val="0"/>
        <w:sz w:val="24"/>
        <w:u w:val="none"/>
      </w:rPr>
    </w:lvl>
  </w:abstractNum>
  <w:abstractNum w:abstractNumId="9">
    <w:nsid w:val="7634774B"/>
    <w:multiLevelType w:val="hybridMultilevel"/>
    <w:tmpl w:val="3ED8418C"/>
    <w:lvl w:ilvl="0" w:tplc="4E684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0"/>
    <w:lvlOverride w:ilvl="0">
      <w:lvl w:ilvl="0">
        <w:start w:val="2"/>
        <w:numFmt w:val="decimal"/>
        <w:lvlText w:val="%1. "/>
        <w:legacy w:legacy="1" w:legacySpace="0" w:legacyIndent="360"/>
        <w:lvlJc w:val="left"/>
        <w:pPr>
          <w:ind w:left="360" w:hanging="360"/>
        </w:pPr>
        <w:rPr>
          <w:rFonts w:ascii="Times" w:hAnsi="Times" w:cs="Times" w:hint="default"/>
          <w:b w:val="0"/>
          <w:i w:val="0"/>
          <w:sz w:val="24"/>
          <w:u w:val="none"/>
        </w:rPr>
      </w:lvl>
    </w:lvlOverride>
  </w:num>
  <w:num w:numId="4">
    <w:abstractNumId w:val="0"/>
    <w:lvlOverride w:ilvl="0">
      <w:lvl w:ilvl="0">
        <w:start w:val="3"/>
        <w:numFmt w:val="decimal"/>
        <w:lvlText w:val="%1. "/>
        <w:legacy w:legacy="1" w:legacySpace="0" w:legacyIndent="360"/>
        <w:lvlJc w:val="left"/>
        <w:pPr>
          <w:ind w:left="360" w:hanging="360"/>
        </w:pPr>
        <w:rPr>
          <w:rFonts w:ascii="Times" w:hAnsi="Times" w:cs="Times" w:hint="default"/>
          <w:b w:val="0"/>
          <w:i w:val="0"/>
          <w:sz w:val="24"/>
          <w:u w:val="none"/>
        </w:rPr>
      </w:lvl>
    </w:lvlOverride>
  </w:num>
  <w:num w:numId="5">
    <w:abstractNumId w:val="8"/>
  </w:num>
  <w:num w:numId="6">
    <w:abstractNumId w:val="8"/>
    <w:lvlOverride w:ilvl="0">
      <w:lvl w:ilvl="0">
        <w:start w:val="2"/>
        <w:numFmt w:val="decimal"/>
        <w:lvlText w:val="%1. "/>
        <w:legacy w:legacy="1" w:legacySpace="0" w:legacyIndent="360"/>
        <w:lvlJc w:val="left"/>
        <w:pPr>
          <w:ind w:left="360" w:hanging="360"/>
        </w:pPr>
        <w:rPr>
          <w:rFonts w:ascii="Times" w:hAnsi="Times" w:cs="Times" w:hint="default"/>
          <w:b w:val="0"/>
          <w:i w:val="0"/>
          <w:sz w:val="24"/>
          <w:u w:val="none"/>
        </w:rPr>
      </w:lvl>
    </w:lvlOverride>
  </w:num>
  <w:num w:numId="7">
    <w:abstractNumId w:val="8"/>
    <w:lvlOverride w:ilvl="0">
      <w:lvl w:ilvl="0">
        <w:start w:val="3"/>
        <w:numFmt w:val="decimal"/>
        <w:lvlText w:val="%1. "/>
        <w:legacy w:legacy="1" w:legacySpace="0" w:legacyIndent="360"/>
        <w:lvlJc w:val="left"/>
        <w:pPr>
          <w:ind w:left="360" w:hanging="360"/>
        </w:pPr>
        <w:rPr>
          <w:rFonts w:ascii="Times" w:hAnsi="Times" w:cs="Times" w:hint="default"/>
          <w:b w:val="0"/>
          <w:i w:val="0"/>
          <w:sz w:val="24"/>
          <w:u w:val="none"/>
        </w:rPr>
      </w:lvl>
    </w:lvlOverride>
  </w:num>
  <w:num w:numId="8">
    <w:abstractNumId w:val="6"/>
  </w:num>
  <w:num w:numId="9">
    <w:abstractNumId w:val="1"/>
  </w:num>
  <w:num w:numId="10">
    <w:abstractNumId w:val="4"/>
  </w:num>
  <w:num w:numId="11">
    <w:abstractNumId w:val="9"/>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95"/>
    <w:rsid w:val="00004A3D"/>
    <w:rsid w:val="0002638D"/>
    <w:rsid w:val="00045348"/>
    <w:rsid w:val="000626A0"/>
    <w:rsid w:val="00075429"/>
    <w:rsid w:val="00076360"/>
    <w:rsid w:val="000C4F27"/>
    <w:rsid w:val="000D4A7D"/>
    <w:rsid w:val="000E14D6"/>
    <w:rsid w:val="000F0CA9"/>
    <w:rsid w:val="001131B7"/>
    <w:rsid w:val="00142B38"/>
    <w:rsid w:val="00145F71"/>
    <w:rsid w:val="001503A2"/>
    <w:rsid w:val="001559F7"/>
    <w:rsid w:val="001647AD"/>
    <w:rsid w:val="00184938"/>
    <w:rsid w:val="00187841"/>
    <w:rsid w:val="001C1308"/>
    <w:rsid w:val="001E3266"/>
    <w:rsid w:val="0022613C"/>
    <w:rsid w:val="002329EE"/>
    <w:rsid w:val="00235E8E"/>
    <w:rsid w:val="00244928"/>
    <w:rsid w:val="00271628"/>
    <w:rsid w:val="002763AA"/>
    <w:rsid w:val="002A2630"/>
    <w:rsid w:val="002B4F1C"/>
    <w:rsid w:val="002E16A5"/>
    <w:rsid w:val="002F0C61"/>
    <w:rsid w:val="003022CF"/>
    <w:rsid w:val="00313623"/>
    <w:rsid w:val="00315F3C"/>
    <w:rsid w:val="0034067E"/>
    <w:rsid w:val="00352078"/>
    <w:rsid w:val="0035629E"/>
    <w:rsid w:val="0036202B"/>
    <w:rsid w:val="00362BD3"/>
    <w:rsid w:val="00370AE3"/>
    <w:rsid w:val="00393F95"/>
    <w:rsid w:val="003A2FEE"/>
    <w:rsid w:val="003B62BA"/>
    <w:rsid w:val="003C2D5F"/>
    <w:rsid w:val="003D3C87"/>
    <w:rsid w:val="003D5963"/>
    <w:rsid w:val="00454A49"/>
    <w:rsid w:val="004632D4"/>
    <w:rsid w:val="00485CD4"/>
    <w:rsid w:val="004A466B"/>
    <w:rsid w:val="004A5694"/>
    <w:rsid w:val="004B3AA7"/>
    <w:rsid w:val="004C34E5"/>
    <w:rsid w:val="00520F19"/>
    <w:rsid w:val="005327B2"/>
    <w:rsid w:val="005848E8"/>
    <w:rsid w:val="005A326E"/>
    <w:rsid w:val="005D2E7F"/>
    <w:rsid w:val="005E4EE3"/>
    <w:rsid w:val="005E7358"/>
    <w:rsid w:val="00606B6A"/>
    <w:rsid w:val="00631605"/>
    <w:rsid w:val="00655738"/>
    <w:rsid w:val="006608FA"/>
    <w:rsid w:val="006C3CE4"/>
    <w:rsid w:val="006D011E"/>
    <w:rsid w:val="00703F0D"/>
    <w:rsid w:val="007147FA"/>
    <w:rsid w:val="00775C31"/>
    <w:rsid w:val="00777318"/>
    <w:rsid w:val="00780106"/>
    <w:rsid w:val="00785FCA"/>
    <w:rsid w:val="00793808"/>
    <w:rsid w:val="007C6F62"/>
    <w:rsid w:val="007E2448"/>
    <w:rsid w:val="007F4842"/>
    <w:rsid w:val="007F7822"/>
    <w:rsid w:val="00840EEE"/>
    <w:rsid w:val="00851889"/>
    <w:rsid w:val="00871932"/>
    <w:rsid w:val="00881EB4"/>
    <w:rsid w:val="00897813"/>
    <w:rsid w:val="008A1084"/>
    <w:rsid w:val="008B118C"/>
    <w:rsid w:val="008C0796"/>
    <w:rsid w:val="008D2E22"/>
    <w:rsid w:val="008E7D40"/>
    <w:rsid w:val="008F59B2"/>
    <w:rsid w:val="009161A6"/>
    <w:rsid w:val="00932FE1"/>
    <w:rsid w:val="009616AE"/>
    <w:rsid w:val="009620D9"/>
    <w:rsid w:val="0098378E"/>
    <w:rsid w:val="0098595D"/>
    <w:rsid w:val="0099147B"/>
    <w:rsid w:val="009943DD"/>
    <w:rsid w:val="009A41FC"/>
    <w:rsid w:val="009B5745"/>
    <w:rsid w:val="009D63E6"/>
    <w:rsid w:val="009D6879"/>
    <w:rsid w:val="009F2630"/>
    <w:rsid w:val="009F62D2"/>
    <w:rsid w:val="00A14816"/>
    <w:rsid w:val="00A14D60"/>
    <w:rsid w:val="00A15C46"/>
    <w:rsid w:val="00A26F0D"/>
    <w:rsid w:val="00A40165"/>
    <w:rsid w:val="00A65EE1"/>
    <w:rsid w:val="00AA7623"/>
    <w:rsid w:val="00AF5416"/>
    <w:rsid w:val="00B01895"/>
    <w:rsid w:val="00B02FFA"/>
    <w:rsid w:val="00B0354C"/>
    <w:rsid w:val="00B14251"/>
    <w:rsid w:val="00B36AE9"/>
    <w:rsid w:val="00B642D7"/>
    <w:rsid w:val="00B66A8E"/>
    <w:rsid w:val="00B742AC"/>
    <w:rsid w:val="00BA071A"/>
    <w:rsid w:val="00BA20D0"/>
    <w:rsid w:val="00BD6FF5"/>
    <w:rsid w:val="00C0419F"/>
    <w:rsid w:val="00C73F95"/>
    <w:rsid w:val="00C745DC"/>
    <w:rsid w:val="00C81DFB"/>
    <w:rsid w:val="00C820EB"/>
    <w:rsid w:val="00C86FCD"/>
    <w:rsid w:val="00C9461D"/>
    <w:rsid w:val="00C9726B"/>
    <w:rsid w:val="00CB2EB5"/>
    <w:rsid w:val="00CB7090"/>
    <w:rsid w:val="00CB7EA6"/>
    <w:rsid w:val="00CB7F63"/>
    <w:rsid w:val="00CE0290"/>
    <w:rsid w:val="00CF5D36"/>
    <w:rsid w:val="00D10D11"/>
    <w:rsid w:val="00D1467B"/>
    <w:rsid w:val="00D2293D"/>
    <w:rsid w:val="00D605FA"/>
    <w:rsid w:val="00D701AC"/>
    <w:rsid w:val="00D82C7A"/>
    <w:rsid w:val="00D86382"/>
    <w:rsid w:val="00D9346E"/>
    <w:rsid w:val="00DC6D58"/>
    <w:rsid w:val="00DC7774"/>
    <w:rsid w:val="00DE55AA"/>
    <w:rsid w:val="00DF6E34"/>
    <w:rsid w:val="00DF7519"/>
    <w:rsid w:val="00E07F00"/>
    <w:rsid w:val="00E16236"/>
    <w:rsid w:val="00E51D45"/>
    <w:rsid w:val="00E56454"/>
    <w:rsid w:val="00E63705"/>
    <w:rsid w:val="00E848FA"/>
    <w:rsid w:val="00E876AF"/>
    <w:rsid w:val="00E93D5B"/>
    <w:rsid w:val="00E97EDD"/>
    <w:rsid w:val="00EB0A0F"/>
    <w:rsid w:val="00EB3AEC"/>
    <w:rsid w:val="00EE4BF6"/>
    <w:rsid w:val="00F03D5C"/>
    <w:rsid w:val="00F047EF"/>
    <w:rsid w:val="00F124A4"/>
    <w:rsid w:val="00F503E5"/>
    <w:rsid w:val="00F6608F"/>
    <w:rsid w:val="00FB6419"/>
    <w:rsid w:val="00FC172A"/>
    <w:rsid w:val="00FD1A7F"/>
    <w:rsid w:val="00FD35A4"/>
    <w:rsid w:val="00FF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F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3D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0D9"/>
    <w:rPr>
      <w:color w:val="0000FF"/>
      <w:u w:val="single"/>
    </w:rPr>
  </w:style>
  <w:style w:type="paragraph" w:styleId="BalloonText">
    <w:name w:val="Balloon Text"/>
    <w:basedOn w:val="Normal"/>
    <w:semiHidden/>
    <w:rsid w:val="00E63705"/>
    <w:rPr>
      <w:rFonts w:ascii="Tahoma" w:hAnsi="Tahoma" w:cs="Tahoma"/>
      <w:sz w:val="16"/>
      <w:szCs w:val="16"/>
    </w:rPr>
  </w:style>
  <w:style w:type="character" w:customStyle="1" w:styleId="matchterm0">
    <w:name w:val="matchterm0"/>
    <w:basedOn w:val="DefaultParagraphFont"/>
    <w:rsid w:val="00F04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3D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0D9"/>
    <w:rPr>
      <w:color w:val="0000FF"/>
      <w:u w:val="single"/>
    </w:rPr>
  </w:style>
  <w:style w:type="paragraph" w:styleId="BalloonText">
    <w:name w:val="Balloon Text"/>
    <w:basedOn w:val="Normal"/>
    <w:semiHidden/>
    <w:rsid w:val="00E63705"/>
    <w:rPr>
      <w:rFonts w:ascii="Tahoma" w:hAnsi="Tahoma" w:cs="Tahoma"/>
      <w:sz w:val="16"/>
      <w:szCs w:val="16"/>
    </w:rPr>
  </w:style>
  <w:style w:type="character" w:customStyle="1" w:styleId="matchterm0">
    <w:name w:val="matchterm0"/>
    <w:basedOn w:val="DefaultParagraphFont"/>
    <w:rsid w:val="00F0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edford@weber.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GG 150 PHYSICAL EARTH PROCESSES</vt:lpstr>
    </vt:vector>
  </TitlesOfParts>
  <Company>Middlebury College</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 150 PHYSICAL EARTH PROCESSES</dc:title>
  <dc:creator>ITS</dc:creator>
  <cp:lastModifiedBy>dbedford</cp:lastModifiedBy>
  <cp:revision>4</cp:revision>
  <cp:lastPrinted>2011-11-04T16:49:00Z</cp:lastPrinted>
  <dcterms:created xsi:type="dcterms:W3CDTF">2012-05-31T19:08:00Z</dcterms:created>
  <dcterms:modified xsi:type="dcterms:W3CDTF">2012-05-31T21:28:00Z</dcterms:modified>
</cp:coreProperties>
</file>